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48CEA" w14:textId="77777777" w:rsidR="00BF1D06" w:rsidRDefault="00BF1D06" w:rsidP="00F05B78">
      <w:pPr>
        <w:jc w:val="both"/>
        <w:rPr>
          <w:rFonts w:cstheme="minorHAnsi"/>
          <w:b/>
          <w:bCs/>
          <w:caps/>
        </w:rPr>
      </w:pPr>
    </w:p>
    <w:p w14:paraId="5E02263E" w14:textId="519F2B5C" w:rsidR="00131A8E" w:rsidRPr="00131A8E" w:rsidRDefault="007F5082" w:rsidP="00131A8E">
      <w:pPr>
        <w:jc w:val="both"/>
        <w:rPr>
          <w:rFonts w:cstheme="minorHAnsi"/>
          <w:caps/>
          <w:szCs w:val="20"/>
        </w:rPr>
      </w:pPr>
      <w:r w:rsidRPr="007F5082">
        <w:rPr>
          <w:rFonts w:cstheme="minorHAnsi"/>
          <w:b/>
          <w:bCs/>
          <w:caps/>
        </w:rPr>
        <w:t>RELAZIONE TECNICA</w:t>
      </w:r>
      <w:r>
        <w:rPr>
          <w:rFonts w:cstheme="minorHAnsi"/>
          <w:caps/>
        </w:rPr>
        <w:t xml:space="preserve"> </w:t>
      </w:r>
      <w:r w:rsidR="00F05B78" w:rsidRPr="00C27375">
        <w:rPr>
          <w:rFonts w:cstheme="minorHAnsi"/>
          <w:caps/>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5 CIG </w:t>
      </w:r>
      <w:r w:rsidR="00131A8E" w:rsidRPr="00131A8E">
        <w:rPr>
          <w:rFonts w:cstheme="minorHAnsi"/>
          <w:caps/>
          <w:szCs w:val="20"/>
        </w:rPr>
        <w:t>B2554D5DBD</w:t>
      </w: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593F68" w:rsidRPr="002F2D8B" w14:paraId="6778C4FB" w14:textId="77777777" w:rsidTr="002A60DF">
        <w:tc>
          <w:tcPr>
            <w:tcW w:w="516" w:type="dxa"/>
          </w:tcPr>
          <w:p w14:paraId="61336798" w14:textId="690EC61E" w:rsidR="00593F68" w:rsidRPr="002F2D8B" w:rsidRDefault="00593F68" w:rsidP="002A60DF">
            <w:pPr>
              <w:pStyle w:val="Corpodeltesto2"/>
              <w:tabs>
                <w:tab w:val="left" w:pos="-1800"/>
                <w:tab w:val="left" w:pos="1080"/>
                <w:tab w:val="left" w:pos="1800"/>
                <w:tab w:val="left" w:pos="6300"/>
              </w:tabs>
              <w:spacing w:after="0" w:line="240" w:lineRule="auto"/>
              <w:jc w:val="center"/>
              <w:rPr>
                <w:rFonts w:cstheme="minorHAnsi"/>
                <w:bCs/>
                <w:sz w:val="32"/>
                <w:szCs w:val="32"/>
              </w:rPr>
            </w:pPr>
            <w:r w:rsidRPr="00593F68">
              <w:rPr>
                <w:rFonts w:cstheme="minorHAnsi"/>
                <w:bCs/>
                <w:sz w:val="32"/>
                <w:szCs w:val="32"/>
              </w:rPr>
              <w:t>□</w:t>
            </w:r>
          </w:p>
        </w:tc>
        <w:tc>
          <w:tcPr>
            <w:tcW w:w="897" w:type="dxa"/>
            <w:vAlign w:val="center"/>
          </w:tcPr>
          <w:p w14:paraId="0C1A13DB" w14:textId="2BBE3B64" w:rsidR="00593F68" w:rsidRPr="00593F68" w:rsidRDefault="00593F68" w:rsidP="002A60DF">
            <w:pPr>
              <w:jc w:val="center"/>
              <w:rPr>
                <w:rFonts w:cstheme="minorHAnsi"/>
              </w:rPr>
            </w:pPr>
            <w:r w:rsidRPr="00593F68">
              <w:rPr>
                <w:rFonts w:cstheme="minorHAnsi"/>
              </w:rPr>
              <w:t>5</w:t>
            </w:r>
          </w:p>
        </w:tc>
        <w:tc>
          <w:tcPr>
            <w:tcW w:w="6095" w:type="dxa"/>
            <w:tcBorders>
              <w:top w:val="single" w:sz="4" w:space="0" w:color="auto"/>
              <w:left w:val="single" w:sz="4" w:space="0" w:color="auto"/>
              <w:bottom w:val="single" w:sz="4" w:space="0" w:color="auto"/>
              <w:right w:val="single" w:sz="4" w:space="0" w:color="auto"/>
            </w:tcBorders>
            <w:vAlign w:val="center"/>
          </w:tcPr>
          <w:p w14:paraId="5F785FAB" w14:textId="459ECA65" w:rsidR="00593F68" w:rsidRDefault="00593F68" w:rsidP="002A60DF">
            <w:pPr>
              <w:rPr>
                <w:rFonts w:cstheme="minorHAnsi"/>
                <w:i/>
                <w:iCs/>
              </w:rPr>
            </w:pPr>
            <w:r w:rsidRPr="00C27375">
              <w:rPr>
                <w:rFonts w:cstheme="minorHAnsi"/>
                <w:caps/>
                <w:szCs w:val="20"/>
              </w:rPr>
              <w:t>SISTEMA PER IL MONITORAGGIO IN REAL-TIME DI BIOAEROSOL BASATO SU MISURE OTTICHE</w:t>
            </w:r>
          </w:p>
        </w:tc>
        <w:tc>
          <w:tcPr>
            <w:tcW w:w="2120" w:type="dxa"/>
            <w:tcBorders>
              <w:top w:val="single" w:sz="4" w:space="0" w:color="auto"/>
              <w:left w:val="single" w:sz="4" w:space="0" w:color="auto"/>
              <w:bottom w:val="single" w:sz="4" w:space="0" w:color="auto"/>
              <w:right w:val="single" w:sz="4" w:space="0" w:color="auto"/>
            </w:tcBorders>
          </w:tcPr>
          <w:p w14:paraId="27FB1C48" w14:textId="00DF7B64" w:rsidR="00593F68" w:rsidRDefault="00033651" w:rsidP="002A60DF">
            <w:pPr>
              <w:jc w:val="center"/>
              <w:rPr>
                <w:rFonts w:cstheme="minorHAnsi"/>
                <w:iCs/>
              </w:rPr>
            </w:pPr>
            <w:r w:rsidRPr="00131A8E">
              <w:rPr>
                <w:rFonts w:cstheme="minorHAnsi"/>
                <w:caps/>
                <w:szCs w:val="20"/>
              </w:rPr>
              <w:t>B2554D5DBD</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283F32FC"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w:t>
      </w:r>
      <w:r w:rsidR="00B83110" w:rsidRPr="000E4C21">
        <w:rPr>
          <w:rFonts w:cstheme="minorHAnsi"/>
          <w:i/>
          <w:iCs/>
        </w:rPr>
        <w:t>e,</w:t>
      </w:r>
      <w:r w:rsidR="00924EC8" w:rsidRPr="000E4C21">
        <w:rPr>
          <w:rFonts w:cstheme="minorHAnsi"/>
          <w:i/>
          <w:iCs/>
        </w:rPr>
        <w:t xml:space="preserve">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61C80BA9" w14:textId="77777777" w:rsidR="005058F2" w:rsidRDefault="005058F2" w:rsidP="007F5082">
      <w:pPr>
        <w:jc w:val="both"/>
        <w:rPr>
          <w:rFonts w:cstheme="minorHAnsi"/>
          <w:b/>
        </w:rPr>
      </w:pPr>
    </w:p>
    <w:p w14:paraId="50F37B81" w14:textId="77777777" w:rsidR="005058F2" w:rsidRDefault="005058F2" w:rsidP="005058F2">
      <w:pPr>
        <w:jc w:val="both"/>
        <w:rPr>
          <w:rFonts w:ascii="Calibri" w:hAnsi="Calibri"/>
          <w:b/>
          <w:i/>
          <w:szCs w:val="20"/>
        </w:rPr>
      </w:pPr>
      <w:r>
        <w:rPr>
          <w:rFonts w:ascii="Calibri" w:hAnsi="Calibri"/>
          <w:b/>
          <w:i/>
          <w:szCs w:val="20"/>
        </w:rPr>
        <w:t>Lotto 5:</w:t>
      </w:r>
      <w:r w:rsidRPr="00CC2A26">
        <w:rPr>
          <w:rFonts w:ascii="Calibri" w:hAnsi="Calibri"/>
          <w:b/>
          <w:iCs/>
          <w:szCs w:val="20"/>
        </w:rPr>
        <w:t xml:space="preserve"> n. 1 Sistema per il monitoraggio in real-time di bioaerosol basato su misure</w:t>
      </w:r>
      <w:r w:rsidRPr="00CC2A26">
        <w:rPr>
          <w:rFonts w:ascii="Calibri" w:hAnsi="Calibri"/>
          <w:b/>
          <w:i/>
          <w:szCs w:val="20"/>
        </w:rPr>
        <w:t xml:space="preserve"> </w:t>
      </w:r>
      <w:r w:rsidRPr="00CC2A26">
        <w:rPr>
          <w:rFonts w:ascii="Calibri" w:hAnsi="Calibri"/>
          <w:b/>
          <w:iCs/>
          <w:szCs w:val="20"/>
        </w:rPr>
        <w:t>ottiche</w:t>
      </w:r>
      <w:r>
        <w:rPr>
          <w:rFonts w:ascii="Calibri" w:hAnsi="Calibri"/>
          <w:b/>
          <w:i/>
          <w:szCs w:val="20"/>
        </w:rPr>
        <w:t xml:space="preserve">. </w:t>
      </w:r>
    </w:p>
    <w:p w14:paraId="27D5EB0B" w14:textId="77777777" w:rsidR="005058F2" w:rsidRDefault="005058F2" w:rsidP="005058F2">
      <w:pPr>
        <w:jc w:val="both"/>
        <w:rPr>
          <w:rFonts w:ascii="Calibri" w:hAnsi="Calibri"/>
          <w:b/>
          <w:i/>
          <w:szCs w:val="20"/>
        </w:rPr>
      </w:pPr>
      <w:r w:rsidRPr="00E44724">
        <w:rPr>
          <w:rFonts w:ascii="Calibri" w:hAnsi="Calibri"/>
          <w:b/>
          <w:i/>
          <w:szCs w:val="20"/>
        </w:rPr>
        <w:t>Tabella dei criteri discrezionali (D), quantitativi (Q) e tabellari (T) di valutazione dell’offerta tecnica</w:t>
      </w:r>
    </w:p>
    <w:p w14:paraId="54A6BD0B" w14:textId="77777777" w:rsidR="005058F2" w:rsidRDefault="005058F2" w:rsidP="005058F2">
      <w:pPr>
        <w:jc w:val="both"/>
        <w:rPr>
          <w:rFonts w:ascii="Calibri" w:hAnsi="Calibri"/>
          <w:b/>
          <w:i/>
          <w:szCs w:val="20"/>
        </w:rPr>
      </w:pPr>
    </w:p>
    <w:tbl>
      <w:tblPr>
        <w:tblW w:w="495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
        <w:gridCol w:w="2093"/>
        <w:gridCol w:w="601"/>
        <w:gridCol w:w="494"/>
        <w:gridCol w:w="2343"/>
        <w:gridCol w:w="1084"/>
        <w:gridCol w:w="1395"/>
        <w:gridCol w:w="1395"/>
      </w:tblGrid>
      <w:tr w:rsidR="005058F2" w:rsidRPr="00E44724" w14:paraId="4563D8A1" w14:textId="77777777" w:rsidTr="002B0931">
        <w:trPr>
          <w:cantSplit/>
          <w:trHeight w:val="20"/>
        </w:trPr>
        <w:tc>
          <w:tcPr>
            <w:tcW w:w="332" w:type="dxa"/>
            <w:shd w:val="clear" w:color="000000" w:fill="D9D9D9"/>
            <w:vAlign w:val="center"/>
            <w:hideMark/>
          </w:tcPr>
          <w:p w14:paraId="1BAF23BE" w14:textId="77777777" w:rsidR="005058F2" w:rsidRPr="00E44724" w:rsidRDefault="005058F2" w:rsidP="002B0931">
            <w:pPr>
              <w:jc w:val="center"/>
              <w:rPr>
                <w:rFonts w:ascii="Calibri" w:hAnsi="Calibri" w:cs="Calibri"/>
                <w:smallCaps/>
                <w:szCs w:val="20"/>
              </w:rPr>
            </w:pPr>
            <w:r w:rsidRPr="00E44724">
              <w:rPr>
                <w:rFonts w:ascii="Calibri" w:hAnsi="Calibri" w:cs="Calibri"/>
                <w:smallCaps/>
                <w:szCs w:val="20"/>
              </w:rPr>
              <w:t>n°</w:t>
            </w:r>
          </w:p>
        </w:tc>
        <w:tc>
          <w:tcPr>
            <w:tcW w:w="1915" w:type="dxa"/>
            <w:shd w:val="clear" w:color="000000" w:fill="D9D9D9"/>
            <w:vAlign w:val="center"/>
            <w:hideMark/>
          </w:tcPr>
          <w:p w14:paraId="28FAF436" w14:textId="77777777" w:rsidR="005058F2" w:rsidRPr="00E44724" w:rsidRDefault="005058F2" w:rsidP="002B0931">
            <w:pPr>
              <w:jc w:val="center"/>
              <w:rPr>
                <w:rFonts w:ascii="Calibri" w:hAnsi="Calibri" w:cs="Calibri"/>
                <w:smallCaps/>
                <w:szCs w:val="20"/>
              </w:rPr>
            </w:pPr>
            <w:r w:rsidRPr="00E44724">
              <w:rPr>
                <w:rFonts w:ascii="Calibri" w:hAnsi="Calibri" w:cs="Calibri"/>
                <w:smallCaps/>
                <w:szCs w:val="20"/>
              </w:rPr>
              <w:t>criteri di valutazione</w:t>
            </w:r>
          </w:p>
        </w:tc>
        <w:tc>
          <w:tcPr>
            <w:tcW w:w="550" w:type="dxa"/>
            <w:shd w:val="clear" w:color="000000" w:fill="D9D9D9"/>
            <w:vAlign w:val="center"/>
            <w:hideMark/>
          </w:tcPr>
          <w:p w14:paraId="3E777A55" w14:textId="77777777" w:rsidR="005058F2" w:rsidRPr="00E44724" w:rsidRDefault="005058F2" w:rsidP="002B0931">
            <w:pPr>
              <w:jc w:val="center"/>
              <w:rPr>
                <w:rFonts w:ascii="Calibri" w:hAnsi="Calibri" w:cs="Calibri"/>
                <w:smallCaps/>
                <w:szCs w:val="20"/>
              </w:rPr>
            </w:pPr>
            <w:r w:rsidRPr="00E44724">
              <w:rPr>
                <w:rFonts w:ascii="Calibri" w:hAnsi="Calibri" w:cs="Calibri"/>
                <w:smallCaps/>
                <w:szCs w:val="20"/>
              </w:rPr>
              <w:t>punti max</w:t>
            </w:r>
          </w:p>
        </w:tc>
        <w:tc>
          <w:tcPr>
            <w:tcW w:w="452" w:type="dxa"/>
            <w:shd w:val="clear" w:color="000000" w:fill="D9D9D9"/>
            <w:vAlign w:val="center"/>
            <w:hideMark/>
          </w:tcPr>
          <w:p w14:paraId="089CE9FF" w14:textId="77777777" w:rsidR="005058F2" w:rsidRPr="00E44724" w:rsidRDefault="005058F2" w:rsidP="002B0931">
            <w:pPr>
              <w:jc w:val="center"/>
              <w:rPr>
                <w:rFonts w:ascii="Calibri" w:hAnsi="Calibri" w:cs="Calibri"/>
                <w:smallCaps/>
                <w:szCs w:val="20"/>
              </w:rPr>
            </w:pPr>
          </w:p>
        </w:tc>
        <w:tc>
          <w:tcPr>
            <w:tcW w:w="2144" w:type="dxa"/>
            <w:shd w:val="clear" w:color="000000" w:fill="D9D9D9"/>
            <w:vAlign w:val="center"/>
            <w:hideMark/>
          </w:tcPr>
          <w:p w14:paraId="06C98A52" w14:textId="77777777" w:rsidR="005058F2" w:rsidRPr="00E44724" w:rsidRDefault="005058F2" w:rsidP="002B0931">
            <w:pPr>
              <w:jc w:val="center"/>
              <w:rPr>
                <w:rFonts w:ascii="Calibri" w:hAnsi="Calibri" w:cs="Calibri"/>
                <w:smallCaps/>
                <w:szCs w:val="20"/>
              </w:rPr>
            </w:pPr>
            <w:r w:rsidRPr="00E44724">
              <w:rPr>
                <w:rFonts w:ascii="Calibri" w:hAnsi="Calibri" w:cs="Calibri"/>
                <w:smallCaps/>
                <w:szCs w:val="20"/>
              </w:rPr>
              <w:t>sub-criteri di valutazione</w:t>
            </w:r>
          </w:p>
        </w:tc>
        <w:tc>
          <w:tcPr>
            <w:tcW w:w="992" w:type="dxa"/>
            <w:shd w:val="clear" w:color="000000" w:fill="D9D9D9"/>
            <w:vAlign w:val="center"/>
            <w:hideMark/>
          </w:tcPr>
          <w:p w14:paraId="7CCC257B" w14:textId="77777777" w:rsidR="005058F2" w:rsidRPr="00E44724" w:rsidRDefault="005058F2" w:rsidP="002B0931">
            <w:pPr>
              <w:jc w:val="center"/>
              <w:rPr>
                <w:rFonts w:ascii="Calibri" w:hAnsi="Calibri" w:cs="Calibri"/>
                <w:smallCaps/>
                <w:szCs w:val="20"/>
              </w:rPr>
            </w:pPr>
            <w:r w:rsidRPr="00E44724">
              <w:rPr>
                <w:rFonts w:ascii="Calibri" w:hAnsi="Calibri" w:cs="Calibri"/>
                <w:smallCaps/>
                <w:szCs w:val="20"/>
              </w:rPr>
              <w:t>punti Q max</w:t>
            </w:r>
          </w:p>
        </w:tc>
        <w:tc>
          <w:tcPr>
            <w:tcW w:w="1276" w:type="dxa"/>
            <w:shd w:val="clear" w:color="000000" w:fill="D9D9D9"/>
            <w:vAlign w:val="center"/>
            <w:hideMark/>
          </w:tcPr>
          <w:p w14:paraId="3EC6DAA4" w14:textId="77777777" w:rsidR="005058F2" w:rsidRPr="00E44724" w:rsidRDefault="005058F2" w:rsidP="002B0931">
            <w:pPr>
              <w:jc w:val="center"/>
              <w:rPr>
                <w:rFonts w:ascii="Calibri" w:hAnsi="Calibri" w:cs="Calibri"/>
                <w:smallCaps/>
                <w:szCs w:val="20"/>
              </w:rPr>
            </w:pPr>
            <w:r w:rsidRPr="00E44724">
              <w:rPr>
                <w:rFonts w:ascii="Calibri" w:hAnsi="Calibri" w:cs="Calibri"/>
                <w:smallCaps/>
                <w:szCs w:val="20"/>
              </w:rPr>
              <w:t>punti T max</w:t>
            </w:r>
          </w:p>
        </w:tc>
        <w:tc>
          <w:tcPr>
            <w:tcW w:w="1276" w:type="dxa"/>
            <w:shd w:val="clear" w:color="000000" w:fill="D9D9D9"/>
          </w:tcPr>
          <w:p w14:paraId="6DBEA243" w14:textId="77777777" w:rsidR="005058F2" w:rsidRPr="00E44724" w:rsidRDefault="005058F2" w:rsidP="002B0931">
            <w:pPr>
              <w:jc w:val="center"/>
              <w:rPr>
                <w:rFonts w:ascii="Calibri" w:hAnsi="Calibri" w:cs="Calibri"/>
                <w:smallCaps/>
                <w:szCs w:val="20"/>
              </w:rPr>
            </w:pPr>
            <w:r w:rsidRPr="00E618B0">
              <w:rPr>
                <w:rFonts w:ascii="Calibri" w:hAnsi="Calibri" w:cs="Calibri"/>
                <w:smallCaps/>
                <w:szCs w:val="20"/>
              </w:rPr>
              <w:t>migliorativo offerto dall’O.E.</w:t>
            </w:r>
          </w:p>
        </w:tc>
      </w:tr>
      <w:tr w:rsidR="005058F2" w:rsidRPr="00955AB0" w14:paraId="474C74F5" w14:textId="77777777" w:rsidTr="002B0931">
        <w:trPr>
          <w:cantSplit/>
          <w:trHeight w:val="20"/>
        </w:trPr>
        <w:tc>
          <w:tcPr>
            <w:tcW w:w="332" w:type="dxa"/>
            <w:vMerge w:val="restart"/>
            <w:shd w:val="clear" w:color="auto" w:fill="auto"/>
            <w:vAlign w:val="center"/>
            <w:hideMark/>
          </w:tcPr>
          <w:p w14:paraId="227A6EBC" w14:textId="77777777" w:rsidR="005058F2" w:rsidRPr="009A6EA0" w:rsidRDefault="005058F2" w:rsidP="002B0931">
            <w:pPr>
              <w:jc w:val="both"/>
              <w:rPr>
                <w:rFonts w:ascii="Calibri" w:hAnsi="Calibri" w:cs="Calibri"/>
                <w:smallCaps/>
                <w:szCs w:val="20"/>
              </w:rPr>
            </w:pPr>
            <w:r w:rsidRPr="009A6EA0">
              <w:rPr>
                <w:rFonts w:ascii="Calibri" w:hAnsi="Calibri" w:cs="Calibri"/>
                <w:smallCaps/>
                <w:szCs w:val="20"/>
              </w:rPr>
              <w:t> 1</w:t>
            </w:r>
          </w:p>
        </w:tc>
        <w:tc>
          <w:tcPr>
            <w:tcW w:w="1915" w:type="dxa"/>
            <w:vMerge w:val="restart"/>
            <w:shd w:val="clear" w:color="auto" w:fill="auto"/>
            <w:vAlign w:val="center"/>
          </w:tcPr>
          <w:p w14:paraId="4DF6D865" w14:textId="77777777" w:rsidR="005058F2" w:rsidRPr="00955AB0" w:rsidRDefault="005058F2" w:rsidP="002B0931">
            <w:pPr>
              <w:jc w:val="both"/>
              <w:rPr>
                <w:rFonts w:cstheme="minorHAnsi"/>
                <w:szCs w:val="20"/>
                <w:lang w:eastAsia="en-US"/>
              </w:rPr>
            </w:pPr>
            <w:r w:rsidRPr="00955AB0">
              <w:rPr>
                <w:rFonts w:cstheme="minorHAnsi"/>
                <w:szCs w:val="20"/>
                <w:lang w:eastAsia="en-US"/>
              </w:rPr>
              <w:t xml:space="preserve">Servizio di </w:t>
            </w:r>
            <w:r>
              <w:rPr>
                <w:rFonts w:cstheme="minorHAnsi"/>
                <w:szCs w:val="20"/>
                <w:lang w:eastAsia="en-US"/>
              </w:rPr>
              <w:t>garanzia</w:t>
            </w:r>
            <w:r w:rsidRPr="00955AB0">
              <w:rPr>
                <w:rFonts w:cstheme="minorHAnsi"/>
                <w:szCs w:val="20"/>
                <w:lang w:eastAsia="en-US"/>
              </w:rPr>
              <w:t xml:space="preserve"> aggiuntivo ai 12 mesi</w:t>
            </w:r>
            <w:r>
              <w:rPr>
                <w:rFonts w:cstheme="minorHAnsi"/>
                <w:szCs w:val="20"/>
                <w:lang w:eastAsia="en-US"/>
              </w:rPr>
              <w:t xml:space="preserve"> di richiesta minima</w:t>
            </w:r>
            <w:r w:rsidRPr="00955AB0">
              <w:rPr>
                <w:rFonts w:cstheme="minorHAnsi"/>
                <w:szCs w:val="20"/>
                <w:lang w:eastAsia="en-US"/>
              </w:rPr>
              <w:t xml:space="preserve"> e fino a 48 mesi</w:t>
            </w:r>
          </w:p>
        </w:tc>
        <w:tc>
          <w:tcPr>
            <w:tcW w:w="550" w:type="dxa"/>
            <w:vMerge w:val="restart"/>
            <w:shd w:val="clear" w:color="auto" w:fill="auto"/>
            <w:vAlign w:val="center"/>
          </w:tcPr>
          <w:p w14:paraId="11D87A14" w14:textId="77777777" w:rsidR="005058F2" w:rsidRPr="00955AB0" w:rsidRDefault="005058F2" w:rsidP="002B0931">
            <w:pPr>
              <w:jc w:val="center"/>
              <w:rPr>
                <w:rFonts w:cstheme="minorHAnsi"/>
                <w:szCs w:val="20"/>
                <w:lang w:eastAsia="en-US"/>
              </w:rPr>
            </w:pPr>
            <w:r w:rsidRPr="00955AB0">
              <w:rPr>
                <w:rFonts w:cstheme="minorHAnsi"/>
                <w:szCs w:val="20"/>
                <w:lang w:eastAsia="en-US"/>
              </w:rPr>
              <w:t>58</w:t>
            </w:r>
          </w:p>
        </w:tc>
        <w:tc>
          <w:tcPr>
            <w:tcW w:w="452" w:type="dxa"/>
            <w:shd w:val="clear" w:color="auto" w:fill="auto"/>
            <w:vAlign w:val="center"/>
            <w:hideMark/>
          </w:tcPr>
          <w:p w14:paraId="38D00D82" w14:textId="77777777" w:rsidR="005058F2" w:rsidRPr="00955AB0" w:rsidRDefault="005058F2" w:rsidP="002B0931">
            <w:pPr>
              <w:jc w:val="center"/>
              <w:rPr>
                <w:rFonts w:cstheme="minorHAnsi"/>
                <w:szCs w:val="20"/>
                <w:lang w:eastAsia="en-US"/>
              </w:rPr>
            </w:pPr>
            <w:r w:rsidRPr="00955AB0">
              <w:rPr>
                <w:rFonts w:cstheme="minorHAnsi"/>
                <w:szCs w:val="20"/>
                <w:lang w:eastAsia="en-US"/>
              </w:rPr>
              <w:t>1.1</w:t>
            </w:r>
          </w:p>
        </w:tc>
        <w:tc>
          <w:tcPr>
            <w:tcW w:w="2144" w:type="dxa"/>
            <w:shd w:val="clear" w:color="auto" w:fill="auto"/>
          </w:tcPr>
          <w:p w14:paraId="20A30F91" w14:textId="77777777" w:rsidR="005058F2" w:rsidRPr="00955AB0" w:rsidRDefault="005058F2" w:rsidP="002B0931">
            <w:pPr>
              <w:jc w:val="center"/>
              <w:rPr>
                <w:rFonts w:cstheme="minorHAnsi"/>
                <w:szCs w:val="20"/>
                <w:lang w:eastAsia="en-US"/>
              </w:rPr>
            </w:pPr>
            <w:r w:rsidRPr="00955AB0">
              <w:rPr>
                <w:rFonts w:cstheme="minorHAnsi"/>
                <w:szCs w:val="20"/>
                <w:lang w:eastAsia="en-US"/>
              </w:rPr>
              <w:t>Ulteriori 48 mesi</w:t>
            </w:r>
          </w:p>
        </w:tc>
        <w:tc>
          <w:tcPr>
            <w:tcW w:w="992" w:type="dxa"/>
            <w:shd w:val="clear" w:color="auto" w:fill="auto"/>
            <w:vAlign w:val="center"/>
            <w:hideMark/>
          </w:tcPr>
          <w:p w14:paraId="2A98F143" w14:textId="77777777" w:rsidR="005058F2" w:rsidRPr="00955AB0" w:rsidRDefault="005058F2" w:rsidP="002B0931">
            <w:pPr>
              <w:jc w:val="center"/>
              <w:rPr>
                <w:rFonts w:cstheme="minorHAnsi"/>
                <w:szCs w:val="20"/>
                <w:lang w:eastAsia="en-US"/>
              </w:rPr>
            </w:pPr>
            <w:r w:rsidRPr="00955AB0">
              <w:rPr>
                <w:rFonts w:cstheme="minorHAnsi"/>
                <w:szCs w:val="20"/>
                <w:lang w:eastAsia="en-US"/>
              </w:rPr>
              <w:t> </w:t>
            </w:r>
          </w:p>
        </w:tc>
        <w:tc>
          <w:tcPr>
            <w:tcW w:w="1276" w:type="dxa"/>
            <w:shd w:val="clear" w:color="auto" w:fill="auto"/>
          </w:tcPr>
          <w:p w14:paraId="486C6B09" w14:textId="77777777" w:rsidR="005058F2" w:rsidRPr="00955AB0" w:rsidRDefault="005058F2" w:rsidP="002B0931">
            <w:pPr>
              <w:jc w:val="center"/>
              <w:rPr>
                <w:rFonts w:cstheme="minorHAnsi"/>
                <w:szCs w:val="20"/>
                <w:lang w:eastAsia="en-US"/>
              </w:rPr>
            </w:pPr>
            <w:r w:rsidRPr="00955AB0">
              <w:rPr>
                <w:rFonts w:cstheme="minorHAnsi"/>
                <w:szCs w:val="20"/>
                <w:lang w:eastAsia="en-US"/>
              </w:rPr>
              <w:t>58</w:t>
            </w:r>
          </w:p>
        </w:tc>
        <w:tc>
          <w:tcPr>
            <w:tcW w:w="1276" w:type="dxa"/>
          </w:tcPr>
          <w:p w14:paraId="02530DFE" w14:textId="77777777" w:rsidR="005058F2" w:rsidRPr="00955AB0" w:rsidRDefault="005058F2" w:rsidP="002B0931">
            <w:pPr>
              <w:jc w:val="center"/>
              <w:rPr>
                <w:rFonts w:cstheme="minorHAnsi"/>
                <w:szCs w:val="20"/>
                <w:lang w:eastAsia="en-US"/>
              </w:rPr>
            </w:pPr>
          </w:p>
        </w:tc>
      </w:tr>
      <w:tr w:rsidR="005058F2" w:rsidRPr="00955AB0" w14:paraId="074A8C61" w14:textId="77777777" w:rsidTr="002B0931">
        <w:trPr>
          <w:cantSplit/>
          <w:trHeight w:val="20"/>
        </w:trPr>
        <w:tc>
          <w:tcPr>
            <w:tcW w:w="332" w:type="dxa"/>
            <w:vMerge/>
            <w:shd w:val="clear" w:color="auto" w:fill="auto"/>
            <w:vAlign w:val="center"/>
          </w:tcPr>
          <w:p w14:paraId="5B2FB0DF" w14:textId="77777777" w:rsidR="005058F2" w:rsidRPr="009A6EA0" w:rsidRDefault="005058F2" w:rsidP="002B0931">
            <w:pPr>
              <w:jc w:val="both"/>
              <w:rPr>
                <w:rFonts w:ascii="Calibri" w:hAnsi="Calibri" w:cs="Calibri"/>
                <w:smallCaps/>
                <w:szCs w:val="20"/>
              </w:rPr>
            </w:pPr>
          </w:p>
        </w:tc>
        <w:tc>
          <w:tcPr>
            <w:tcW w:w="1915" w:type="dxa"/>
            <w:vMerge/>
            <w:shd w:val="clear" w:color="auto" w:fill="auto"/>
            <w:vAlign w:val="center"/>
          </w:tcPr>
          <w:p w14:paraId="4FA151FF" w14:textId="77777777" w:rsidR="005058F2" w:rsidRPr="00955AB0" w:rsidRDefault="005058F2" w:rsidP="002B0931">
            <w:pPr>
              <w:jc w:val="both"/>
              <w:rPr>
                <w:rFonts w:cstheme="minorHAnsi"/>
                <w:szCs w:val="20"/>
                <w:lang w:eastAsia="en-US"/>
              </w:rPr>
            </w:pPr>
          </w:p>
        </w:tc>
        <w:tc>
          <w:tcPr>
            <w:tcW w:w="550" w:type="dxa"/>
            <w:vMerge/>
            <w:shd w:val="clear" w:color="auto" w:fill="auto"/>
            <w:vAlign w:val="center"/>
          </w:tcPr>
          <w:p w14:paraId="7AD38E8E" w14:textId="77777777" w:rsidR="005058F2" w:rsidRPr="00955AB0" w:rsidRDefault="005058F2" w:rsidP="002B0931">
            <w:pPr>
              <w:jc w:val="center"/>
              <w:rPr>
                <w:rFonts w:cstheme="minorHAnsi"/>
                <w:szCs w:val="20"/>
                <w:lang w:eastAsia="en-US"/>
              </w:rPr>
            </w:pPr>
          </w:p>
        </w:tc>
        <w:tc>
          <w:tcPr>
            <w:tcW w:w="452" w:type="dxa"/>
            <w:shd w:val="clear" w:color="auto" w:fill="auto"/>
            <w:vAlign w:val="center"/>
          </w:tcPr>
          <w:p w14:paraId="2110E582" w14:textId="77777777" w:rsidR="005058F2" w:rsidRPr="00955AB0" w:rsidRDefault="005058F2" w:rsidP="002B0931">
            <w:pPr>
              <w:jc w:val="center"/>
              <w:rPr>
                <w:rFonts w:cstheme="minorHAnsi"/>
                <w:szCs w:val="20"/>
                <w:lang w:eastAsia="en-US"/>
              </w:rPr>
            </w:pPr>
            <w:r w:rsidRPr="00955AB0">
              <w:rPr>
                <w:rFonts w:cstheme="minorHAnsi"/>
                <w:szCs w:val="20"/>
                <w:lang w:eastAsia="en-US"/>
              </w:rPr>
              <w:t>1.2</w:t>
            </w:r>
          </w:p>
        </w:tc>
        <w:tc>
          <w:tcPr>
            <w:tcW w:w="2144" w:type="dxa"/>
            <w:shd w:val="clear" w:color="auto" w:fill="auto"/>
          </w:tcPr>
          <w:p w14:paraId="204172BD" w14:textId="77777777" w:rsidR="005058F2" w:rsidRPr="00955AB0" w:rsidRDefault="005058F2" w:rsidP="002B0931">
            <w:pPr>
              <w:jc w:val="center"/>
              <w:rPr>
                <w:rFonts w:cstheme="minorHAnsi"/>
                <w:szCs w:val="20"/>
                <w:lang w:eastAsia="en-US"/>
              </w:rPr>
            </w:pPr>
            <w:r w:rsidRPr="00955AB0">
              <w:rPr>
                <w:rFonts w:cstheme="minorHAnsi"/>
                <w:szCs w:val="20"/>
                <w:lang w:eastAsia="en-US"/>
              </w:rPr>
              <w:t>Ulteriori 36 mesi</w:t>
            </w:r>
          </w:p>
        </w:tc>
        <w:tc>
          <w:tcPr>
            <w:tcW w:w="992" w:type="dxa"/>
            <w:shd w:val="clear" w:color="auto" w:fill="auto"/>
            <w:vAlign w:val="center"/>
          </w:tcPr>
          <w:p w14:paraId="09DB6D38" w14:textId="77777777" w:rsidR="005058F2" w:rsidRPr="00955AB0" w:rsidRDefault="005058F2" w:rsidP="002B0931">
            <w:pPr>
              <w:jc w:val="center"/>
              <w:rPr>
                <w:rFonts w:cstheme="minorHAnsi"/>
                <w:szCs w:val="20"/>
                <w:lang w:eastAsia="en-US"/>
              </w:rPr>
            </w:pPr>
          </w:p>
        </w:tc>
        <w:tc>
          <w:tcPr>
            <w:tcW w:w="1276" w:type="dxa"/>
            <w:shd w:val="clear" w:color="auto" w:fill="auto"/>
          </w:tcPr>
          <w:p w14:paraId="41F9A56E" w14:textId="77777777" w:rsidR="005058F2" w:rsidRPr="00955AB0" w:rsidRDefault="005058F2" w:rsidP="002B0931">
            <w:pPr>
              <w:jc w:val="center"/>
              <w:rPr>
                <w:rFonts w:cstheme="minorHAnsi"/>
                <w:szCs w:val="20"/>
                <w:lang w:eastAsia="en-US"/>
              </w:rPr>
            </w:pPr>
            <w:r w:rsidRPr="00955AB0">
              <w:rPr>
                <w:rFonts w:cstheme="minorHAnsi"/>
                <w:szCs w:val="20"/>
                <w:lang w:eastAsia="en-US"/>
              </w:rPr>
              <w:t>44</w:t>
            </w:r>
          </w:p>
        </w:tc>
        <w:tc>
          <w:tcPr>
            <w:tcW w:w="1276" w:type="dxa"/>
          </w:tcPr>
          <w:p w14:paraId="214C4D9F" w14:textId="77777777" w:rsidR="005058F2" w:rsidRPr="00955AB0" w:rsidRDefault="005058F2" w:rsidP="002B0931">
            <w:pPr>
              <w:jc w:val="center"/>
              <w:rPr>
                <w:rFonts w:cstheme="minorHAnsi"/>
                <w:szCs w:val="20"/>
                <w:lang w:eastAsia="en-US"/>
              </w:rPr>
            </w:pPr>
          </w:p>
        </w:tc>
      </w:tr>
      <w:tr w:rsidR="005058F2" w:rsidRPr="00955AB0" w14:paraId="70198F7A" w14:textId="77777777" w:rsidTr="002B0931">
        <w:trPr>
          <w:cantSplit/>
          <w:trHeight w:val="20"/>
        </w:trPr>
        <w:tc>
          <w:tcPr>
            <w:tcW w:w="332" w:type="dxa"/>
            <w:vMerge/>
            <w:shd w:val="clear" w:color="auto" w:fill="auto"/>
            <w:vAlign w:val="center"/>
          </w:tcPr>
          <w:p w14:paraId="51F820E1" w14:textId="77777777" w:rsidR="005058F2" w:rsidRPr="009A6EA0" w:rsidRDefault="005058F2" w:rsidP="002B0931">
            <w:pPr>
              <w:jc w:val="both"/>
              <w:rPr>
                <w:rFonts w:ascii="Calibri" w:hAnsi="Calibri" w:cs="Calibri"/>
                <w:smallCaps/>
                <w:szCs w:val="20"/>
              </w:rPr>
            </w:pPr>
          </w:p>
        </w:tc>
        <w:tc>
          <w:tcPr>
            <w:tcW w:w="1915" w:type="dxa"/>
            <w:vMerge/>
            <w:shd w:val="clear" w:color="auto" w:fill="auto"/>
            <w:vAlign w:val="center"/>
          </w:tcPr>
          <w:p w14:paraId="3712480F" w14:textId="77777777" w:rsidR="005058F2" w:rsidRPr="00955AB0" w:rsidRDefault="005058F2" w:rsidP="002B0931">
            <w:pPr>
              <w:jc w:val="both"/>
              <w:rPr>
                <w:rFonts w:cstheme="minorHAnsi"/>
                <w:szCs w:val="20"/>
                <w:lang w:eastAsia="en-US"/>
              </w:rPr>
            </w:pPr>
          </w:p>
        </w:tc>
        <w:tc>
          <w:tcPr>
            <w:tcW w:w="550" w:type="dxa"/>
            <w:vMerge/>
            <w:shd w:val="clear" w:color="auto" w:fill="auto"/>
            <w:vAlign w:val="center"/>
          </w:tcPr>
          <w:p w14:paraId="536325A4" w14:textId="77777777" w:rsidR="005058F2" w:rsidRPr="00955AB0" w:rsidRDefault="005058F2" w:rsidP="002B0931">
            <w:pPr>
              <w:jc w:val="center"/>
              <w:rPr>
                <w:rFonts w:cstheme="minorHAnsi"/>
                <w:szCs w:val="20"/>
                <w:lang w:eastAsia="en-US"/>
              </w:rPr>
            </w:pPr>
          </w:p>
        </w:tc>
        <w:tc>
          <w:tcPr>
            <w:tcW w:w="452" w:type="dxa"/>
            <w:shd w:val="clear" w:color="auto" w:fill="auto"/>
            <w:vAlign w:val="center"/>
          </w:tcPr>
          <w:p w14:paraId="1DA7D547" w14:textId="77777777" w:rsidR="005058F2" w:rsidRPr="00955AB0" w:rsidRDefault="005058F2" w:rsidP="002B0931">
            <w:pPr>
              <w:jc w:val="center"/>
              <w:rPr>
                <w:rFonts w:cstheme="minorHAnsi"/>
                <w:szCs w:val="20"/>
                <w:lang w:eastAsia="en-US"/>
              </w:rPr>
            </w:pPr>
            <w:r w:rsidRPr="00955AB0">
              <w:rPr>
                <w:rFonts w:cstheme="minorHAnsi"/>
                <w:szCs w:val="20"/>
                <w:lang w:eastAsia="en-US"/>
              </w:rPr>
              <w:t>1.3</w:t>
            </w:r>
          </w:p>
        </w:tc>
        <w:tc>
          <w:tcPr>
            <w:tcW w:w="2144" w:type="dxa"/>
            <w:shd w:val="clear" w:color="auto" w:fill="auto"/>
          </w:tcPr>
          <w:p w14:paraId="4AADD052" w14:textId="77777777" w:rsidR="005058F2" w:rsidRPr="00955AB0" w:rsidRDefault="005058F2" w:rsidP="002B0931">
            <w:pPr>
              <w:jc w:val="center"/>
              <w:rPr>
                <w:rFonts w:cstheme="minorHAnsi"/>
                <w:szCs w:val="20"/>
                <w:lang w:eastAsia="en-US"/>
              </w:rPr>
            </w:pPr>
            <w:r w:rsidRPr="00955AB0">
              <w:rPr>
                <w:rFonts w:cstheme="minorHAnsi"/>
                <w:szCs w:val="20"/>
                <w:lang w:eastAsia="en-US"/>
              </w:rPr>
              <w:t>Ulteriori 24 mesi</w:t>
            </w:r>
          </w:p>
        </w:tc>
        <w:tc>
          <w:tcPr>
            <w:tcW w:w="992" w:type="dxa"/>
            <w:shd w:val="clear" w:color="auto" w:fill="auto"/>
            <w:vAlign w:val="center"/>
          </w:tcPr>
          <w:p w14:paraId="091DB73A" w14:textId="77777777" w:rsidR="005058F2" w:rsidRPr="00955AB0" w:rsidRDefault="005058F2" w:rsidP="002B0931">
            <w:pPr>
              <w:jc w:val="center"/>
              <w:rPr>
                <w:rFonts w:cstheme="minorHAnsi"/>
                <w:szCs w:val="20"/>
                <w:lang w:eastAsia="en-US"/>
              </w:rPr>
            </w:pPr>
          </w:p>
        </w:tc>
        <w:tc>
          <w:tcPr>
            <w:tcW w:w="1276" w:type="dxa"/>
            <w:shd w:val="clear" w:color="auto" w:fill="auto"/>
          </w:tcPr>
          <w:p w14:paraId="540AF2F4" w14:textId="77777777" w:rsidR="005058F2" w:rsidRPr="00955AB0" w:rsidRDefault="005058F2" w:rsidP="002B0931">
            <w:pPr>
              <w:jc w:val="center"/>
              <w:rPr>
                <w:rFonts w:cstheme="minorHAnsi"/>
                <w:szCs w:val="20"/>
                <w:lang w:eastAsia="en-US"/>
              </w:rPr>
            </w:pPr>
            <w:r w:rsidRPr="00955AB0">
              <w:rPr>
                <w:rFonts w:cstheme="minorHAnsi"/>
                <w:szCs w:val="20"/>
                <w:lang w:eastAsia="en-US"/>
              </w:rPr>
              <w:t>29</w:t>
            </w:r>
          </w:p>
        </w:tc>
        <w:tc>
          <w:tcPr>
            <w:tcW w:w="1276" w:type="dxa"/>
          </w:tcPr>
          <w:p w14:paraId="43174E09" w14:textId="77777777" w:rsidR="005058F2" w:rsidRPr="00955AB0" w:rsidRDefault="005058F2" w:rsidP="002B0931">
            <w:pPr>
              <w:jc w:val="center"/>
              <w:rPr>
                <w:rFonts w:cstheme="minorHAnsi"/>
                <w:szCs w:val="20"/>
                <w:lang w:eastAsia="en-US"/>
              </w:rPr>
            </w:pPr>
          </w:p>
        </w:tc>
      </w:tr>
      <w:tr w:rsidR="005058F2" w:rsidRPr="00955AB0" w14:paraId="3C3D78AE" w14:textId="77777777" w:rsidTr="002B0931">
        <w:trPr>
          <w:cantSplit/>
          <w:trHeight w:val="20"/>
        </w:trPr>
        <w:tc>
          <w:tcPr>
            <w:tcW w:w="332" w:type="dxa"/>
            <w:vMerge/>
            <w:shd w:val="clear" w:color="auto" w:fill="auto"/>
            <w:vAlign w:val="center"/>
          </w:tcPr>
          <w:p w14:paraId="1FA21DDA" w14:textId="77777777" w:rsidR="005058F2" w:rsidRPr="009A6EA0" w:rsidRDefault="005058F2" w:rsidP="002B0931">
            <w:pPr>
              <w:jc w:val="both"/>
              <w:rPr>
                <w:rFonts w:ascii="Calibri" w:hAnsi="Calibri" w:cs="Calibri"/>
                <w:smallCaps/>
                <w:szCs w:val="20"/>
              </w:rPr>
            </w:pPr>
          </w:p>
        </w:tc>
        <w:tc>
          <w:tcPr>
            <w:tcW w:w="1915" w:type="dxa"/>
            <w:vMerge/>
            <w:shd w:val="clear" w:color="auto" w:fill="auto"/>
            <w:vAlign w:val="center"/>
          </w:tcPr>
          <w:p w14:paraId="296008A4" w14:textId="77777777" w:rsidR="005058F2" w:rsidRPr="00955AB0" w:rsidRDefault="005058F2" w:rsidP="002B0931">
            <w:pPr>
              <w:jc w:val="both"/>
              <w:rPr>
                <w:rFonts w:cstheme="minorHAnsi"/>
                <w:szCs w:val="20"/>
                <w:lang w:eastAsia="en-US"/>
              </w:rPr>
            </w:pPr>
          </w:p>
        </w:tc>
        <w:tc>
          <w:tcPr>
            <w:tcW w:w="550" w:type="dxa"/>
            <w:vMerge/>
            <w:shd w:val="clear" w:color="auto" w:fill="auto"/>
            <w:vAlign w:val="center"/>
          </w:tcPr>
          <w:p w14:paraId="64384A40" w14:textId="77777777" w:rsidR="005058F2" w:rsidRPr="00955AB0" w:rsidRDefault="005058F2" w:rsidP="002B0931">
            <w:pPr>
              <w:jc w:val="center"/>
              <w:rPr>
                <w:rFonts w:cstheme="minorHAnsi"/>
                <w:szCs w:val="20"/>
                <w:lang w:eastAsia="en-US"/>
              </w:rPr>
            </w:pPr>
          </w:p>
        </w:tc>
        <w:tc>
          <w:tcPr>
            <w:tcW w:w="452" w:type="dxa"/>
            <w:shd w:val="clear" w:color="auto" w:fill="auto"/>
            <w:vAlign w:val="center"/>
          </w:tcPr>
          <w:p w14:paraId="5E856ED0" w14:textId="77777777" w:rsidR="005058F2" w:rsidRPr="00955AB0" w:rsidRDefault="005058F2" w:rsidP="002B0931">
            <w:pPr>
              <w:jc w:val="center"/>
              <w:rPr>
                <w:rFonts w:cstheme="minorHAnsi"/>
                <w:szCs w:val="20"/>
                <w:lang w:eastAsia="en-US"/>
              </w:rPr>
            </w:pPr>
            <w:r w:rsidRPr="00955AB0">
              <w:rPr>
                <w:rFonts w:cstheme="minorHAnsi"/>
                <w:szCs w:val="20"/>
                <w:lang w:eastAsia="en-US"/>
              </w:rPr>
              <w:t>1.4</w:t>
            </w:r>
          </w:p>
        </w:tc>
        <w:tc>
          <w:tcPr>
            <w:tcW w:w="2144" w:type="dxa"/>
            <w:shd w:val="clear" w:color="auto" w:fill="auto"/>
          </w:tcPr>
          <w:p w14:paraId="3FF8FB2D" w14:textId="77777777" w:rsidR="005058F2" w:rsidRPr="00955AB0" w:rsidRDefault="005058F2" w:rsidP="002B0931">
            <w:pPr>
              <w:jc w:val="center"/>
              <w:rPr>
                <w:rFonts w:cstheme="minorHAnsi"/>
                <w:szCs w:val="20"/>
                <w:lang w:eastAsia="en-US"/>
              </w:rPr>
            </w:pPr>
            <w:r w:rsidRPr="00955AB0">
              <w:rPr>
                <w:rFonts w:cstheme="minorHAnsi"/>
                <w:szCs w:val="20"/>
                <w:lang w:eastAsia="en-US"/>
              </w:rPr>
              <w:t>Ulteriori 12 mesi</w:t>
            </w:r>
          </w:p>
        </w:tc>
        <w:tc>
          <w:tcPr>
            <w:tcW w:w="992" w:type="dxa"/>
            <w:shd w:val="clear" w:color="auto" w:fill="auto"/>
            <w:vAlign w:val="center"/>
          </w:tcPr>
          <w:p w14:paraId="4DC8D07A" w14:textId="77777777" w:rsidR="005058F2" w:rsidRPr="00955AB0" w:rsidRDefault="005058F2" w:rsidP="002B0931">
            <w:pPr>
              <w:jc w:val="center"/>
              <w:rPr>
                <w:rFonts w:cstheme="minorHAnsi"/>
                <w:szCs w:val="20"/>
                <w:lang w:eastAsia="en-US"/>
              </w:rPr>
            </w:pPr>
          </w:p>
        </w:tc>
        <w:tc>
          <w:tcPr>
            <w:tcW w:w="1276" w:type="dxa"/>
            <w:shd w:val="clear" w:color="auto" w:fill="auto"/>
          </w:tcPr>
          <w:p w14:paraId="2BF2BE13" w14:textId="77777777" w:rsidR="005058F2" w:rsidRPr="00955AB0" w:rsidRDefault="005058F2" w:rsidP="002B0931">
            <w:pPr>
              <w:jc w:val="center"/>
              <w:rPr>
                <w:rFonts w:cstheme="minorHAnsi"/>
                <w:szCs w:val="20"/>
                <w:lang w:eastAsia="en-US"/>
              </w:rPr>
            </w:pPr>
            <w:r w:rsidRPr="00955AB0">
              <w:rPr>
                <w:rFonts w:cstheme="minorHAnsi"/>
                <w:szCs w:val="20"/>
                <w:lang w:eastAsia="en-US"/>
              </w:rPr>
              <w:t>15</w:t>
            </w:r>
          </w:p>
        </w:tc>
        <w:tc>
          <w:tcPr>
            <w:tcW w:w="1276" w:type="dxa"/>
          </w:tcPr>
          <w:p w14:paraId="1A72AC02" w14:textId="77777777" w:rsidR="005058F2" w:rsidRPr="00955AB0" w:rsidRDefault="005058F2" w:rsidP="002B0931">
            <w:pPr>
              <w:jc w:val="center"/>
              <w:rPr>
                <w:rFonts w:cstheme="minorHAnsi"/>
                <w:szCs w:val="20"/>
                <w:lang w:eastAsia="en-US"/>
              </w:rPr>
            </w:pPr>
          </w:p>
        </w:tc>
      </w:tr>
      <w:tr w:rsidR="005058F2" w:rsidRPr="00955AB0" w14:paraId="5E2A92B4" w14:textId="77777777" w:rsidTr="002B0931">
        <w:trPr>
          <w:cantSplit/>
          <w:trHeight w:val="20"/>
        </w:trPr>
        <w:tc>
          <w:tcPr>
            <w:tcW w:w="332" w:type="dxa"/>
            <w:vMerge/>
            <w:shd w:val="clear" w:color="auto" w:fill="auto"/>
            <w:vAlign w:val="center"/>
          </w:tcPr>
          <w:p w14:paraId="1D4B8EA5" w14:textId="77777777" w:rsidR="005058F2" w:rsidRPr="009A6EA0" w:rsidRDefault="005058F2" w:rsidP="002B0931">
            <w:pPr>
              <w:jc w:val="both"/>
              <w:rPr>
                <w:rFonts w:ascii="Calibri" w:hAnsi="Calibri" w:cs="Calibri"/>
                <w:smallCaps/>
                <w:szCs w:val="20"/>
              </w:rPr>
            </w:pPr>
          </w:p>
        </w:tc>
        <w:tc>
          <w:tcPr>
            <w:tcW w:w="1915" w:type="dxa"/>
            <w:vMerge/>
            <w:shd w:val="clear" w:color="auto" w:fill="auto"/>
            <w:vAlign w:val="center"/>
          </w:tcPr>
          <w:p w14:paraId="76AC04D6" w14:textId="77777777" w:rsidR="005058F2" w:rsidRPr="00955AB0" w:rsidRDefault="005058F2" w:rsidP="002B0931">
            <w:pPr>
              <w:jc w:val="both"/>
              <w:rPr>
                <w:rFonts w:cstheme="minorHAnsi"/>
                <w:szCs w:val="20"/>
                <w:lang w:eastAsia="en-US"/>
              </w:rPr>
            </w:pPr>
          </w:p>
        </w:tc>
        <w:tc>
          <w:tcPr>
            <w:tcW w:w="550" w:type="dxa"/>
            <w:vMerge/>
            <w:shd w:val="clear" w:color="auto" w:fill="auto"/>
            <w:vAlign w:val="center"/>
          </w:tcPr>
          <w:p w14:paraId="40428F16" w14:textId="77777777" w:rsidR="005058F2" w:rsidRPr="00955AB0" w:rsidRDefault="005058F2" w:rsidP="002B0931">
            <w:pPr>
              <w:jc w:val="center"/>
              <w:rPr>
                <w:rFonts w:cstheme="minorHAnsi"/>
                <w:szCs w:val="20"/>
                <w:lang w:eastAsia="en-US"/>
              </w:rPr>
            </w:pPr>
          </w:p>
        </w:tc>
        <w:tc>
          <w:tcPr>
            <w:tcW w:w="452" w:type="dxa"/>
            <w:shd w:val="clear" w:color="auto" w:fill="auto"/>
            <w:vAlign w:val="center"/>
          </w:tcPr>
          <w:p w14:paraId="547816E2" w14:textId="77777777" w:rsidR="005058F2" w:rsidRPr="00955AB0" w:rsidRDefault="005058F2" w:rsidP="002B0931">
            <w:pPr>
              <w:jc w:val="center"/>
              <w:rPr>
                <w:rFonts w:cstheme="minorHAnsi"/>
                <w:szCs w:val="20"/>
                <w:lang w:eastAsia="en-US"/>
              </w:rPr>
            </w:pPr>
            <w:r w:rsidRPr="00955AB0">
              <w:rPr>
                <w:rFonts w:cstheme="minorHAnsi"/>
                <w:szCs w:val="20"/>
                <w:lang w:eastAsia="en-US"/>
              </w:rPr>
              <w:t>1.5</w:t>
            </w:r>
          </w:p>
        </w:tc>
        <w:tc>
          <w:tcPr>
            <w:tcW w:w="2144" w:type="dxa"/>
            <w:shd w:val="clear" w:color="auto" w:fill="auto"/>
          </w:tcPr>
          <w:p w14:paraId="1E12B86A" w14:textId="77777777" w:rsidR="005058F2" w:rsidRPr="00955AB0" w:rsidRDefault="005058F2" w:rsidP="002B0931">
            <w:pPr>
              <w:jc w:val="center"/>
              <w:rPr>
                <w:rFonts w:cstheme="minorHAnsi"/>
                <w:szCs w:val="20"/>
                <w:lang w:eastAsia="en-US"/>
              </w:rPr>
            </w:pPr>
            <w:r w:rsidRPr="00955AB0">
              <w:rPr>
                <w:rFonts w:cstheme="minorHAnsi"/>
                <w:szCs w:val="20"/>
                <w:lang w:eastAsia="en-US"/>
              </w:rPr>
              <w:t>NO</w:t>
            </w:r>
          </w:p>
        </w:tc>
        <w:tc>
          <w:tcPr>
            <w:tcW w:w="992" w:type="dxa"/>
            <w:shd w:val="clear" w:color="auto" w:fill="auto"/>
            <w:vAlign w:val="center"/>
          </w:tcPr>
          <w:p w14:paraId="4F398BF4" w14:textId="77777777" w:rsidR="005058F2" w:rsidRPr="00955AB0" w:rsidRDefault="005058F2" w:rsidP="002B0931">
            <w:pPr>
              <w:jc w:val="center"/>
              <w:rPr>
                <w:rFonts w:cstheme="minorHAnsi"/>
                <w:szCs w:val="20"/>
                <w:lang w:eastAsia="en-US"/>
              </w:rPr>
            </w:pPr>
          </w:p>
        </w:tc>
        <w:tc>
          <w:tcPr>
            <w:tcW w:w="1276" w:type="dxa"/>
            <w:shd w:val="clear" w:color="auto" w:fill="auto"/>
          </w:tcPr>
          <w:p w14:paraId="6DBAFA7C" w14:textId="77777777" w:rsidR="005058F2" w:rsidRPr="00955AB0" w:rsidRDefault="005058F2" w:rsidP="002B0931">
            <w:pPr>
              <w:jc w:val="center"/>
              <w:rPr>
                <w:rFonts w:cstheme="minorHAnsi"/>
                <w:szCs w:val="20"/>
                <w:lang w:eastAsia="en-US"/>
              </w:rPr>
            </w:pPr>
            <w:r w:rsidRPr="00955AB0">
              <w:rPr>
                <w:rFonts w:cstheme="minorHAnsi"/>
                <w:szCs w:val="20"/>
                <w:lang w:eastAsia="en-US"/>
              </w:rPr>
              <w:t>0</w:t>
            </w:r>
          </w:p>
        </w:tc>
        <w:tc>
          <w:tcPr>
            <w:tcW w:w="1276" w:type="dxa"/>
          </w:tcPr>
          <w:p w14:paraId="39286800" w14:textId="77777777" w:rsidR="005058F2" w:rsidRPr="00955AB0" w:rsidRDefault="005058F2" w:rsidP="002B0931">
            <w:pPr>
              <w:jc w:val="center"/>
              <w:rPr>
                <w:rFonts w:cstheme="minorHAnsi"/>
                <w:szCs w:val="20"/>
                <w:lang w:eastAsia="en-US"/>
              </w:rPr>
            </w:pPr>
          </w:p>
        </w:tc>
      </w:tr>
      <w:tr w:rsidR="005058F2" w:rsidRPr="00955AB0" w14:paraId="449D3C01" w14:textId="77777777" w:rsidTr="002B0931">
        <w:trPr>
          <w:cantSplit/>
          <w:trHeight w:val="20"/>
        </w:trPr>
        <w:tc>
          <w:tcPr>
            <w:tcW w:w="332" w:type="dxa"/>
            <w:shd w:val="clear" w:color="auto" w:fill="auto"/>
            <w:vAlign w:val="center"/>
            <w:hideMark/>
          </w:tcPr>
          <w:p w14:paraId="224AE0E7" w14:textId="77777777" w:rsidR="005058F2" w:rsidRPr="009A6EA0" w:rsidRDefault="005058F2" w:rsidP="002B0931">
            <w:pPr>
              <w:jc w:val="both"/>
              <w:rPr>
                <w:rFonts w:ascii="Calibri" w:hAnsi="Calibri" w:cs="Calibri"/>
                <w:smallCaps/>
                <w:szCs w:val="20"/>
              </w:rPr>
            </w:pPr>
            <w:r w:rsidRPr="009A6EA0">
              <w:rPr>
                <w:rFonts w:ascii="Calibri" w:hAnsi="Calibri" w:cs="Calibri"/>
                <w:smallCaps/>
                <w:szCs w:val="20"/>
              </w:rPr>
              <w:t>2</w:t>
            </w:r>
          </w:p>
          <w:p w14:paraId="2DA2CBC5" w14:textId="77777777" w:rsidR="005058F2" w:rsidRPr="009A6EA0" w:rsidRDefault="005058F2" w:rsidP="002B0931">
            <w:pPr>
              <w:jc w:val="both"/>
              <w:rPr>
                <w:rFonts w:ascii="Calibri" w:hAnsi="Calibri" w:cs="Calibri"/>
                <w:smallCaps/>
                <w:szCs w:val="20"/>
              </w:rPr>
            </w:pPr>
            <w:r w:rsidRPr="009A6EA0">
              <w:rPr>
                <w:rFonts w:ascii="Calibri" w:hAnsi="Calibri" w:cs="Calibri"/>
                <w:smallCaps/>
                <w:szCs w:val="20"/>
              </w:rPr>
              <w:t> </w:t>
            </w:r>
          </w:p>
        </w:tc>
        <w:tc>
          <w:tcPr>
            <w:tcW w:w="1915" w:type="dxa"/>
            <w:shd w:val="clear" w:color="auto" w:fill="auto"/>
            <w:vAlign w:val="center"/>
          </w:tcPr>
          <w:p w14:paraId="597013D7" w14:textId="77777777" w:rsidR="005058F2" w:rsidRPr="00955AB0" w:rsidRDefault="005058F2" w:rsidP="002B0931">
            <w:pPr>
              <w:jc w:val="both"/>
              <w:rPr>
                <w:rFonts w:cstheme="minorHAnsi"/>
                <w:szCs w:val="20"/>
                <w:lang w:eastAsia="en-US"/>
              </w:rPr>
            </w:pPr>
            <w:r w:rsidRPr="00955AB0">
              <w:rPr>
                <w:rFonts w:cstheme="minorHAnsi"/>
                <w:szCs w:val="20"/>
                <w:lang w:eastAsia="en-US"/>
              </w:rPr>
              <w:t>Riduzione del numero di giorni lavorativi per la fornitura ed installazione delle parti o elementi nuovi.</w:t>
            </w:r>
          </w:p>
          <w:p w14:paraId="3BB5FFB0" w14:textId="77777777" w:rsidR="005058F2" w:rsidRPr="00955AB0" w:rsidRDefault="005058F2" w:rsidP="002B0931">
            <w:pPr>
              <w:jc w:val="both"/>
              <w:rPr>
                <w:rFonts w:cstheme="minorHAnsi"/>
                <w:szCs w:val="20"/>
                <w:lang w:eastAsia="en-US"/>
              </w:rPr>
            </w:pPr>
            <w:r w:rsidRPr="00955AB0">
              <w:rPr>
                <w:rFonts w:cstheme="minorHAnsi"/>
                <w:szCs w:val="20"/>
                <w:lang w:eastAsia="en-US"/>
              </w:rPr>
              <w:t>Detti:</w:t>
            </w:r>
          </w:p>
          <w:p w14:paraId="501EE1F2" w14:textId="77777777" w:rsidR="005058F2" w:rsidRPr="00955AB0" w:rsidRDefault="005058F2" w:rsidP="002B0931">
            <w:pPr>
              <w:jc w:val="both"/>
              <w:rPr>
                <w:rFonts w:cstheme="minorHAnsi"/>
                <w:szCs w:val="20"/>
                <w:lang w:eastAsia="en-US"/>
              </w:rPr>
            </w:pPr>
            <w:r w:rsidRPr="00955AB0">
              <w:rPr>
                <w:rFonts w:ascii="Cambria Math" w:hAnsi="Cambria Math" w:cs="Cambria Math"/>
                <w:szCs w:val="20"/>
                <w:lang w:eastAsia="en-US"/>
              </w:rPr>
              <w:t>𝑷𝒊</w:t>
            </w:r>
            <w:r w:rsidRPr="00955AB0">
              <w:rPr>
                <w:rFonts w:cstheme="minorHAnsi"/>
                <w:szCs w:val="20"/>
                <w:lang w:eastAsia="en-US"/>
              </w:rPr>
              <w:t xml:space="preserve"> = punteggio attribuito all’offerta del concorrente i-esimo</w:t>
            </w:r>
          </w:p>
          <w:p w14:paraId="4BCEE70A" w14:textId="77777777" w:rsidR="005058F2" w:rsidRPr="00955AB0" w:rsidRDefault="005058F2" w:rsidP="002B0931">
            <w:pPr>
              <w:jc w:val="both"/>
              <w:rPr>
                <w:rFonts w:cstheme="minorHAnsi"/>
                <w:szCs w:val="20"/>
                <w:lang w:eastAsia="en-US"/>
              </w:rPr>
            </w:pPr>
            <w:r w:rsidRPr="00955AB0">
              <w:rPr>
                <w:rFonts w:ascii="Cambria Math" w:hAnsi="Cambria Math" w:cs="Cambria Math"/>
                <w:szCs w:val="20"/>
                <w:lang w:eastAsia="en-US"/>
              </w:rPr>
              <w:t>𝑮𝒊</w:t>
            </w:r>
            <w:r w:rsidRPr="00955AB0">
              <w:rPr>
                <w:rFonts w:cstheme="minorHAnsi"/>
                <w:szCs w:val="20"/>
                <w:lang w:eastAsia="en-US"/>
              </w:rPr>
              <w:t xml:space="preserve"> = riduzione di giorni offerta dal concorrente i-esimo</w:t>
            </w:r>
          </w:p>
          <w:p w14:paraId="5B825A93" w14:textId="77777777" w:rsidR="005058F2" w:rsidRPr="00955AB0" w:rsidRDefault="005058F2" w:rsidP="002B0931">
            <w:pPr>
              <w:jc w:val="both"/>
              <w:rPr>
                <w:rFonts w:cstheme="minorHAnsi"/>
                <w:szCs w:val="20"/>
                <w:lang w:eastAsia="en-US"/>
              </w:rPr>
            </w:pPr>
            <w:r w:rsidRPr="00955AB0">
              <w:rPr>
                <w:rFonts w:ascii="Cambria Math" w:hAnsi="Cambria Math" w:cs="Cambria Math"/>
                <w:szCs w:val="20"/>
                <w:lang w:eastAsia="en-US"/>
              </w:rPr>
              <w:t>𝑮𝒎𝒂𝒙</w:t>
            </w:r>
            <w:r w:rsidRPr="00955AB0">
              <w:rPr>
                <w:rFonts w:cstheme="minorHAnsi"/>
                <w:szCs w:val="20"/>
                <w:lang w:eastAsia="en-US"/>
              </w:rPr>
              <w:t xml:space="preserve"> = riduzione massima dei giorni per fornitura e istallazione</w:t>
            </w:r>
          </w:p>
          <w:p w14:paraId="32D9A17B" w14:textId="77777777" w:rsidR="005058F2" w:rsidRPr="00955AB0" w:rsidRDefault="005058F2" w:rsidP="002B0931">
            <w:pPr>
              <w:jc w:val="both"/>
              <w:rPr>
                <w:rFonts w:cstheme="minorHAnsi"/>
                <w:szCs w:val="20"/>
                <w:lang w:eastAsia="en-US"/>
              </w:rPr>
            </w:pPr>
            <w:r w:rsidRPr="00955AB0">
              <w:rPr>
                <w:rFonts w:ascii="Cambria Math" w:hAnsi="Cambria Math" w:cs="Cambria Math"/>
                <w:szCs w:val="20"/>
                <w:lang w:eastAsia="en-US"/>
              </w:rPr>
              <w:t>𝑷</w:t>
            </w:r>
            <w:r w:rsidRPr="00955AB0">
              <w:rPr>
                <w:rFonts w:cstheme="minorHAnsi"/>
                <w:szCs w:val="20"/>
                <w:lang w:eastAsia="en-US"/>
              </w:rPr>
              <w:t xml:space="preserve"> = 10 </w:t>
            </w:r>
            <w:r w:rsidRPr="00955AB0">
              <w:rPr>
                <w:rFonts w:ascii="Cambria Math" w:hAnsi="Cambria Math" w:cs="Cambria Math"/>
                <w:szCs w:val="20"/>
                <w:lang w:eastAsia="en-US"/>
              </w:rPr>
              <w:t>∗</w:t>
            </w:r>
            <w:r w:rsidRPr="00955AB0">
              <w:rPr>
                <w:rFonts w:cstheme="minorHAnsi"/>
                <w:szCs w:val="20"/>
                <w:lang w:eastAsia="en-US"/>
              </w:rPr>
              <w:t xml:space="preserve">      </w:t>
            </w:r>
            <w:r w:rsidRPr="00955AB0">
              <w:rPr>
                <w:rFonts w:ascii="Cambria Math" w:hAnsi="Cambria Math" w:cs="Cambria Math"/>
                <w:szCs w:val="20"/>
                <w:lang w:eastAsia="en-US"/>
              </w:rPr>
              <w:t>𝑮𝒊</w:t>
            </w:r>
            <w:r w:rsidRPr="00955AB0">
              <w:rPr>
                <w:rFonts w:cstheme="minorHAnsi"/>
                <w:szCs w:val="20"/>
                <w:lang w:eastAsia="en-US"/>
              </w:rPr>
              <w:tab/>
            </w:r>
          </w:p>
          <w:p w14:paraId="6214AA9F" w14:textId="77777777" w:rsidR="005058F2" w:rsidRPr="00955AB0" w:rsidRDefault="005058F2" w:rsidP="002B0931">
            <w:pPr>
              <w:jc w:val="both"/>
              <w:rPr>
                <w:rFonts w:cstheme="minorHAnsi"/>
                <w:szCs w:val="20"/>
                <w:lang w:eastAsia="en-US"/>
              </w:rPr>
            </w:pPr>
            <w:r w:rsidRPr="00955AB0">
              <w:rPr>
                <w:rFonts w:ascii="Cambria Math" w:hAnsi="Cambria Math" w:cs="Cambria Math"/>
                <w:szCs w:val="20"/>
                <w:lang w:eastAsia="en-US"/>
              </w:rPr>
              <w:t>𝒊</w:t>
            </w:r>
            <w:r w:rsidRPr="00955AB0">
              <w:rPr>
                <w:rFonts w:cstheme="minorHAnsi"/>
                <w:szCs w:val="20"/>
                <w:lang w:eastAsia="en-US"/>
              </w:rPr>
              <w:tab/>
            </w:r>
            <w:r w:rsidRPr="00955AB0">
              <w:rPr>
                <w:rFonts w:ascii="Cambria Math" w:hAnsi="Cambria Math" w:cs="Cambria Math"/>
                <w:szCs w:val="20"/>
                <w:lang w:eastAsia="en-US"/>
              </w:rPr>
              <w:t>𝑮𝒊𝑚𝑎𝑥</w:t>
            </w:r>
          </w:p>
        </w:tc>
        <w:tc>
          <w:tcPr>
            <w:tcW w:w="550" w:type="dxa"/>
            <w:shd w:val="clear" w:color="auto" w:fill="auto"/>
            <w:vAlign w:val="center"/>
          </w:tcPr>
          <w:p w14:paraId="4DE285C7" w14:textId="77777777" w:rsidR="005058F2" w:rsidRPr="00955AB0" w:rsidRDefault="005058F2" w:rsidP="002B0931">
            <w:pPr>
              <w:jc w:val="center"/>
              <w:rPr>
                <w:rFonts w:cstheme="minorHAnsi"/>
                <w:szCs w:val="20"/>
                <w:lang w:eastAsia="en-US"/>
              </w:rPr>
            </w:pPr>
            <w:r w:rsidRPr="00955AB0">
              <w:rPr>
                <w:rFonts w:cstheme="minorHAnsi"/>
                <w:szCs w:val="20"/>
                <w:lang w:eastAsia="en-US"/>
              </w:rPr>
              <w:t>10</w:t>
            </w:r>
          </w:p>
        </w:tc>
        <w:tc>
          <w:tcPr>
            <w:tcW w:w="452" w:type="dxa"/>
            <w:shd w:val="clear" w:color="auto" w:fill="auto"/>
            <w:vAlign w:val="center"/>
            <w:hideMark/>
          </w:tcPr>
          <w:p w14:paraId="06331257" w14:textId="77777777" w:rsidR="005058F2" w:rsidRPr="00955AB0" w:rsidRDefault="005058F2" w:rsidP="002B0931">
            <w:pPr>
              <w:jc w:val="center"/>
              <w:rPr>
                <w:rFonts w:cstheme="minorHAnsi"/>
                <w:szCs w:val="20"/>
                <w:lang w:eastAsia="en-US"/>
              </w:rPr>
            </w:pPr>
            <w:r w:rsidRPr="00955AB0">
              <w:rPr>
                <w:rFonts w:cstheme="minorHAnsi"/>
                <w:szCs w:val="20"/>
                <w:lang w:eastAsia="en-US"/>
              </w:rPr>
              <w:t>2.1</w:t>
            </w:r>
          </w:p>
        </w:tc>
        <w:tc>
          <w:tcPr>
            <w:tcW w:w="2144" w:type="dxa"/>
            <w:shd w:val="clear" w:color="auto" w:fill="auto"/>
            <w:vAlign w:val="center"/>
          </w:tcPr>
          <w:p w14:paraId="70534E6C" w14:textId="77777777" w:rsidR="005058F2" w:rsidRPr="00955AB0" w:rsidRDefault="005058F2" w:rsidP="002B0931">
            <w:pPr>
              <w:jc w:val="both"/>
              <w:rPr>
                <w:rFonts w:cstheme="minorHAnsi"/>
                <w:szCs w:val="20"/>
                <w:lang w:eastAsia="en-US"/>
              </w:rPr>
            </w:pPr>
          </w:p>
        </w:tc>
        <w:tc>
          <w:tcPr>
            <w:tcW w:w="992" w:type="dxa"/>
            <w:shd w:val="clear" w:color="auto" w:fill="auto"/>
            <w:vAlign w:val="center"/>
            <w:hideMark/>
          </w:tcPr>
          <w:p w14:paraId="46F475A0" w14:textId="77777777" w:rsidR="005058F2" w:rsidRPr="00955AB0" w:rsidRDefault="005058F2" w:rsidP="002B0931">
            <w:pPr>
              <w:jc w:val="center"/>
              <w:rPr>
                <w:rFonts w:cstheme="minorHAnsi"/>
                <w:szCs w:val="20"/>
                <w:lang w:eastAsia="en-US"/>
              </w:rPr>
            </w:pPr>
            <w:r w:rsidRPr="00955AB0">
              <w:rPr>
                <w:rFonts w:cstheme="minorHAnsi"/>
                <w:szCs w:val="20"/>
                <w:lang w:eastAsia="en-US"/>
              </w:rPr>
              <w:t>10</w:t>
            </w:r>
          </w:p>
        </w:tc>
        <w:tc>
          <w:tcPr>
            <w:tcW w:w="1276" w:type="dxa"/>
            <w:shd w:val="clear" w:color="auto" w:fill="auto"/>
            <w:vAlign w:val="center"/>
          </w:tcPr>
          <w:p w14:paraId="2B5166A6" w14:textId="77777777" w:rsidR="005058F2" w:rsidRPr="00955AB0" w:rsidRDefault="005058F2" w:rsidP="002B0931">
            <w:pPr>
              <w:jc w:val="center"/>
              <w:rPr>
                <w:rFonts w:cstheme="minorHAnsi"/>
                <w:szCs w:val="20"/>
                <w:lang w:eastAsia="en-US"/>
              </w:rPr>
            </w:pPr>
          </w:p>
        </w:tc>
        <w:tc>
          <w:tcPr>
            <w:tcW w:w="1276" w:type="dxa"/>
          </w:tcPr>
          <w:p w14:paraId="6CDBBAE1" w14:textId="77777777" w:rsidR="005058F2" w:rsidRPr="00955AB0" w:rsidRDefault="005058F2" w:rsidP="002B0931">
            <w:pPr>
              <w:jc w:val="center"/>
              <w:rPr>
                <w:rFonts w:cstheme="minorHAnsi"/>
                <w:szCs w:val="20"/>
                <w:lang w:eastAsia="en-US"/>
              </w:rPr>
            </w:pPr>
          </w:p>
        </w:tc>
      </w:tr>
      <w:tr w:rsidR="005058F2" w:rsidRPr="00E44724" w14:paraId="6BE42CEC" w14:textId="77777777" w:rsidTr="002B0931">
        <w:trPr>
          <w:cantSplit/>
          <w:trHeight w:val="670"/>
        </w:trPr>
        <w:tc>
          <w:tcPr>
            <w:tcW w:w="332" w:type="dxa"/>
            <w:vMerge w:val="restart"/>
            <w:shd w:val="clear" w:color="auto" w:fill="auto"/>
            <w:vAlign w:val="center"/>
          </w:tcPr>
          <w:p w14:paraId="5F13CC5A" w14:textId="77777777" w:rsidR="005058F2" w:rsidRPr="009A6EA0" w:rsidRDefault="005058F2" w:rsidP="002B0931">
            <w:pPr>
              <w:jc w:val="both"/>
              <w:rPr>
                <w:rFonts w:cstheme="minorHAnsi"/>
                <w:szCs w:val="20"/>
                <w:lang w:eastAsia="en-US"/>
              </w:rPr>
            </w:pPr>
            <w:r w:rsidRPr="009A6EA0">
              <w:rPr>
                <w:rFonts w:cstheme="minorHAnsi"/>
                <w:szCs w:val="20"/>
                <w:lang w:eastAsia="en-US"/>
              </w:rPr>
              <w:t> 3</w:t>
            </w:r>
          </w:p>
        </w:tc>
        <w:tc>
          <w:tcPr>
            <w:tcW w:w="1915" w:type="dxa"/>
            <w:vMerge w:val="restart"/>
            <w:shd w:val="clear" w:color="auto" w:fill="auto"/>
            <w:vAlign w:val="center"/>
          </w:tcPr>
          <w:p w14:paraId="1593784F" w14:textId="77777777" w:rsidR="005058F2" w:rsidRPr="009A6EA0" w:rsidRDefault="005058F2" w:rsidP="002B0931">
            <w:pPr>
              <w:jc w:val="both"/>
              <w:rPr>
                <w:rFonts w:cstheme="minorHAnsi"/>
                <w:szCs w:val="20"/>
                <w:lang w:eastAsia="en-US"/>
              </w:rPr>
            </w:pPr>
            <w:r w:rsidRPr="009A6EA0">
              <w:rPr>
                <w:rFonts w:cstheme="minorHAnsi"/>
                <w:szCs w:val="20"/>
                <w:lang w:eastAsia="en-US"/>
              </w:rPr>
              <w:t>Possesso della certificazione di responsabilità sociale ed etica sa 8000 o equivalente </w:t>
            </w:r>
          </w:p>
        </w:tc>
        <w:tc>
          <w:tcPr>
            <w:tcW w:w="550" w:type="dxa"/>
            <w:vMerge w:val="restart"/>
            <w:shd w:val="clear" w:color="auto" w:fill="auto"/>
            <w:vAlign w:val="center"/>
          </w:tcPr>
          <w:p w14:paraId="557B197B" w14:textId="77777777" w:rsidR="005058F2" w:rsidRPr="009A6EA0" w:rsidRDefault="005058F2" w:rsidP="002B0931">
            <w:pPr>
              <w:jc w:val="center"/>
              <w:rPr>
                <w:rFonts w:cstheme="minorHAnsi"/>
                <w:szCs w:val="20"/>
                <w:lang w:eastAsia="en-US"/>
              </w:rPr>
            </w:pPr>
            <w:r w:rsidRPr="009A6EA0">
              <w:rPr>
                <w:rFonts w:cstheme="minorHAnsi"/>
                <w:szCs w:val="20"/>
                <w:lang w:eastAsia="en-US"/>
              </w:rPr>
              <w:t>1 </w:t>
            </w:r>
          </w:p>
        </w:tc>
        <w:tc>
          <w:tcPr>
            <w:tcW w:w="452" w:type="dxa"/>
            <w:shd w:val="clear" w:color="auto" w:fill="auto"/>
            <w:vAlign w:val="center"/>
          </w:tcPr>
          <w:p w14:paraId="6E8D7905" w14:textId="77777777" w:rsidR="005058F2" w:rsidRPr="009A6EA0" w:rsidRDefault="005058F2" w:rsidP="002B0931">
            <w:pPr>
              <w:jc w:val="center"/>
              <w:rPr>
                <w:rFonts w:cstheme="minorHAnsi"/>
                <w:szCs w:val="20"/>
                <w:lang w:eastAsia="en-US"/>
              </w:rPr>
            </w:pPr>
            <w:r w:rsidRPr="009A6EA0">
              <w:rPr>
                <w:rFonts w:cstheme="minorHAnsi"/>
                <w:szCs w:val="20"/>
                <w:lang w:eastAsia="en-US"/>
              </w:rPr>
              <w:t>7.1 </w:t>
            </w:r>
          </w:p>
        </w:tc>
        <w:tc>
          <w:tcPr>
            <w:tcW w:w="2144" w:type="dxa"/>
            <w:shd w:val="clear" w:color="auto" w:fill="auto"/>
            <w:vAlign w:val="center"/>
          </w:tcPr>
          <w:p w14:paraId="44689FE4" w14:textId="77777777" w:rsidR="005058F2" w:rsidRPr="009A6EA0" w:rsidRDefault="005058F2" w:rsidP="002B0931">
            <w:pPr>
              <w:jc w:val="center"/>
              <w:rPr>
                <w:rFonts w:cstheme="minorHAnsi"/>
                <w:szCs w:val="20"/>
                <w:lang w:eastAsia="en-US"/>
              </w:rPr>
            </w:pPr>
            <w:r w:rsidRPr="009A6EA0">
              <w:rPr>
                <w:rFonts w:cstheme="minorHAnsi"/>
                <w:szCs w:val="20"/>
                <w:lang w:eastAsia="en-US"/>
              </w:rPr>
              <w:t>Presente </w:t>
            </w:r>
          </w:p>
        </w:tc>
        <w:tc>
          <w:tcPr>
            <w:tcW w:w="992" w:type="dxa"/>
            <w:shd w:val="clear" w:color="auto" w:fill="auto"/>
            <w:vAlign w:val="center"/>
          </w:tcPr>
          <w:p w14:paraId="7CCAB708" w14:textId="77777777" w:rsidR="005058F2" w:rsidRPr="009A6EA0" w:rsidRDefault="005058F2" w:rsidP="002B0931">
            <w:pPr>
              <w:jc w:val="center"/>
              <w:rPr>
                <w:rFonts w:cstheme="minorHAnsi"/>
                <w:szCs w:val="20"/>
                <w:lang w:eastAsia="en-US"/>
              </w:rPr>
            </w:pPr>
            <w:r w:rsidRPr="009A6EA0">
              <w:rPr>
                <w:rFonts w:cstheme="minorHAnsi"/>
                <w:szCs w:val="20"/>
                <w:lang w:eastAsia="en-US"/>
              </w:rPr>
              <w:t>  </w:t>
            </w:r>
          </w:p>
        </w:tc>
        <w:tc>
          <w:tcPr>
            <w:tcW w:w="1276" w:type="dxa"/>
            <w:shd w:val="clear" w:color="auto" w:fill="auto"/>
            <w:vAlign w:val="center"/>
          </w:tcPr>
          <w:p w14:paraId="07DC9982" w14:textId="77777777" w:rsidR="005058F2" w:rsidRPr="009A6EA0" w:rsidRDefault="005058F2" w:rsidP="002B0931">
            <w:pPr>
              <w:jc w:val="center"/>
              <w:rPr>
                <w:rFonts w:cstheme="minorHAnsi"/>
                <w:szCs w:val="20"/>
                <w:lang w:eastAsia="en-US"/>
              </w:rPr>
            </w:pPr>
            <w:r w:rsidRPr="009A6EA0">
              <w:rPr>
                <w:rFonts w:cstheme="minorHAnsi"/>
                <w:szCs w:val="20"/>
                <w:lang w:eastAsia="en-US"/>
              </w:rPr>
              <w:t>1 </w:t>
            </w:r>
          </w:p>
        </w:tc>
        <w:tc>
          <w:tcPr>
            <w:tcW w:w="1276" w:type="dxa"/>
          </w:tcPr>
          <w:p w14:paraId="34F9BD69" w14:textId="77777777" w:rsidR="005058F2" w:rsidRPr="009A6EA0" w:rsidRDefault="005058F2" w:rsidP="002B0931">
            <w:pPr>
              <w:jc w:val="center"/>
              <w:rPr>
                <w:rFonts w:cstheme="minorHAnsi"/>
                <w:szCs w:val="20"/>
                <w:lang w:eastAsia="en-US"/>
              </w:rPr>
            </w:pPr>
          </w:p>
        </w:tc>
      </w:tr>
      <w:tr w:rsidR="005058F2" w:rsidRPr="00E44724" w14:paraId="78EEE412" w14:textId="77777777" w:rsidTr="002B0931">
        <w:trPr>
          <w:cantSplit/>
          <w:trHeight w:val="20"/>
        </w:trPr>
        <w:tc>
          <w:tcPr>
            <w:tcW w:w="332" w:type="dxa"/>
            <w:vMerge/>
            <w:shd w:val="clear" w:color="auto" w:fill="auto"/>
            <w:vAlign w:val="center"/>
          </w:tcPr>
          <w:p w14:paraId="2B9C5A63" w14:textId="77777777" w:rsidR="005058F2" w:rsidRPr="009A6EA0" w:rsidRDefault="005058F2" w:rsidP="002B0931">
            <w:pPr>
              <w:jc w:val="both"/>
              <w:rPr>
                <w:rFonts w:cstheme="minorHAnsi"/>
                <w:szCs w:val="20"/>
                <w:lang w:eastAsia="en-US"/>
              </w:rPr>
            </w:pPr>
          </w:p>
        </w:tc>
        <w:tc>
          <w:tcPr>
            <w:tcW w:w="1915" w:type="dxa"/>
            <w:vMerge/>
            <w:shd w:val="clear" w:color="auto" w:fill="auto"/>
            <w:vAlign w:val="center"/>
          </w:tcPr>
          <w:p w14:paraId="28445D29" w14:textId="77777777" w:rsidR="005058F2" w:rsidRPr="009A6EA0" w:rsidRDefault="005058F2" w:rsidP="002B0931">
            <w:pPr>
              <w:jc w:val="both"/>
              <w:rPr>
                <w:rFonts w:cstheme="minorHAnsi"/>
                <w:szCs w:val="20"/>
                <w:lang w:eastAsia="en-US"/>
              </w:rPr>
            </w:pPr>
          </w:p>
        </w:tc>
        <w:tc>
          <w:tcPr>
            <w:tcW w:w="550" w:type="dxa"/>
            <w:vMerge/>
            <w:shd w:val="clear" w:color="auto" w:fill="auto"/>
            <w:vAlign w:val="center"/>
          </w:tcPr>
          <w:p w14:paraId="61B6B586" w14:textId="77777777" w:rsidR="005058F2" w:rsidRPr="009A6EA0" w:rsidRDefault="005058F2" w:rsidP="002B0931">
            <w:pPr>
              <w:jc w:val="center"/>
              <w:rPr>
                <w:rFonts w:cstheme="minorHAnsi"/>
                <w:szCs w:val="20"/>
                <w:lang w:eastAsia="en-US"/>
              </w:rPr>
            </w:pPr>
          </w:p>
        </w:tc>
        <w:tc>
          <w:tcPr>
            <w:tcW w:w="452" w:type="dxa"/>
            <w:shd w:val="clear" w:color="auto" w:fill="auto"/>
            <w:vAlign w:val="center"/>
          </w:tcPr>
          <w:p w14:paraId="395EC865" w14:textId="77777777" w:rsidR="005058F2" w:rsidRPr="009A6EA0" w:rsidRDefault="005058F2" w:rsidP="002B0931">
            <w:pPr>
              <w:jc w:val="center"/>
              <w:rPr>
                <w:rFonts w:cstheme="minorHAnsi"/>
                <w:szCs w:val="20"/>
                <w:lang w:eastAsia="en-US"/>
              </w:rPr>
            </w:pPr>
            <w:r w:rsidRPr="009A6EA0">
              <w:rPr>
                <w:rFonts w:cstheme="minorHAnsi"/>
                <w:szCs w:val="20"/>
                <w:lang w:eastAsia="en-US"/>
              </w:rPr>
              <w:t>7.2 </w:t>
            </w:r>
          </w:p>
        </w:tc>
        <w:tc>
          <w:tcPr>
            <w:tcW w:w="2144" w:type="dxa"/>
            <w:shd w:val="clear" w:color="auto" w:fill="auto"/>
            <w:vAlign w:val="center"/>
          </w:tcPr>
          <w:p w14:paraId="043AA80E" w14:textId="77777777" w:rsidR="005058F2" w:rsidRPr="009A6EA0" w:rsidRDefault="005058F2" w:rsidP="002B0931">
            <w:pPr>
              <w:jc w:val="center"/>
              <w:rPr>
                <w:rFonts w:cstheme="minorHAnsi"/>
                <w:szCs w:val="20"/>
                <w:lang w:eastAsia="en-US"/>
              </w:rPr>
            </w:pPr>
            <w:r w:rsidRPr="009A6EA0">
              <w:rPr>
                <w:rFonts w:cstheme="minorHAnsi"/>
                <w:szCs w:val="20"/>
                <w:lang w:eastAsia="en-US"/>
              </w:rPr>
              <w:t>non Presente</w:t>
            </w:r>
          </w:p>
        </w:tc>
        <w:tc>
          <w:tcPr>
            <w:tcW w:w="992" w:type="dxa"/>
            <w:shd w:val="clear" w:color="auto" w:fill="auto"/>
            <w:vAlign w:val="center"/>
          </w:tcPr>
          <w:p w14:paraId="594DE100" w14:textId="77777777" w:rsidR="005058F2" w:rsidRPr="009A6EA0" w:rsidRDefault="005058F2" w:rsidP="002B0931">
            <w:pPr>
              <w:jc w:val="center"/>
              <w:rPr>
                <w:rFonts w:cstheme="minorHAnsi"/>
                <w:szCs w:val="20"/>
                <w:lang w:eastAsia="en-US"/>
              </w:rPr>
            </w:pPr>
          </w:p>
        </w:tc>
        <w:tc>
          <w:tcPr>
            <w:tcW w:w="1276" w:type="dxa"/>
            <w:shd w:val="clear" w:color="auto" w:fill="auto"/>
            <w:vAlign w:val="center"/>
          </w:tcPr>
          <w:p w14:paraId="1BBD9485" w14:textId="77777777" w:rsidR="005058F2" w:rsidRPr="009A6EA0" w:rsidRDefault="005058F2" w:rsidP="002B0931">
            <w:pPr>
              <w:jc w:val="center"/>
              <w:rPr>
                <w:rFonts w:cstheme="minorHAnsi"/>
                <w:szCs w:val="20"/>
                <w:lang w:eastAsia="en-US"/>
              </w:rPr>
            </w:pPr>
            <w:r w:rsidRPr="009A6EA0">
              <w:rPr>
                <w:rFonts w:cstheme="minorHAnsi"/>
                <w:szCs w:val="20"/>
                <w:lang w:eastAsia="en-US"/>
              </w:rPr>
              <w:t>0 </w:t>
            </w:r>
          </w:p>
        </w:tc>
        <w:tc>
          <w:tcPr>
            <w:tcW w:w="1276" w:type="dxa"/>
          </w:tcPr>
          <w:p w14:paraId="52F76BC9" w14:textId="77777777" w:rsidR="005058F2" w:rsidRPr="009A6EA0" w:rsidRDefault="005058F2" w:rsidP="002B0931">
            <w:pPr>
              <w:jc w:val="center"/>
              <w:rPr>
                <w:rFonts w:cstheme="minorHAnsi"/>
                <w:szCs w:val="20"/>
                <w:lang w:eastAsia="en-US"/>
              </w:rPr>
            </w:pPr>
          </w:p>
        </w:tc>
      </w:tr>
      <w:tr w:rsidR="005058F2" w:rsidRPr="00E44724" w14:paraId="4D73F9AB" w14:textId="77777777" w:rsidTr="002B0931">
        <w:trPr>
          <w:cantSplit/>
          <w:trHeight w:val="841"/>
        </w:trPr>
        <w:tc>
          <w:tcPr>
            <w:tcW w:w="332" w:type="dxa"/>
            <w:vMerge w:val="restart"/>
            <w:shd w:val="clear" w:color="auto" w:fill="auto"/>
            <w:vAlign w:val="center"/>
          </w:tcPr>
          <w:p w14:paraId="7FB06F83" w14:textId="77777777" w:rsidR="005058F2" w:rsidRPr="009A6EA0" w:rsidRDefault="005058F2" w:rsidP="002B0931">
            <w:pPr>
              <w:jc w:val="both"/>
              <w:rPr>
                <w:rFonts w:cstheme="minorHAnsi"/>
                <w:szCs w:val="20"/>
                <w:lang w:eastAsia="en-US"/>
              </w:rPr>
            </w:pPr>
            <w:r w:rsidRPr="009A6EA0">
              <w:rPr>
                <w:rFonts w:cstheme="minorHAnsi"/>
                <w:szCs w:val="20"/>
                <w:lang w:eastAsia="en-US"/>
              </w:rPr>
              <w:t>4</w:t>
            </w:r>
          </w:p>
        </w:tc>
        <w:tc>
          <w:tcPr>
            <w:tcW w:w="1915" w:type="dxa"/>
            <w:vMerge w:val="restart"/>
            <w:shd w:val="clear" w:color="auto" w:fill="auto"/>
            <w:vAlign w:val="center"/>
          </w:tcPr>
          <w:p w14:paraId="2EB2E0DD" w14:textId="77777777" w:rsidR="005058F2" w:rsidRPr="009A6EA0" w:rsidRDefault="005058F2" w:rsidP="002B0931">
            <w:pPr>
              <w:jc w:val="both"/>
              <w:rPr>
                <w:rFonts w:cstheme="minorHAnsi"/>
                <w:szCs w:val="20"/>
                <w:lang w:eastAsia="en-US"/>
              </w:rPr>
            </w:pPr>
            <w:r w:rsidRPr="009A6EA0">
              <w:rPr>
                <w:rFonts w:cstheme="minorHAnsi"/>
                <w:szCs w:val="20"/>
                <w:lang w:eastAsia="en-US"/>
              </w:rPr>
              <w:t>Percentuale di donne in ruoli apicali (consiglio di amministrazione / amministratore e dirigenti) </w:t>
            </w:r>
          </w:p>
        </w:tc>
        <w:tc>
          <w:tcPr>
            <w:tcW w:w="550" w:type="dxa"/>
            <w:vMerge w:val="restart"/>
            <w:shd w:val="clear" w:color="auto" w:fill="auto"/>
            <w:vAlign w:val="center"/>
          </w:tcPr>
          <w:p w14:paraId="1F6943E5" w14:textId="77777777" w:rsidR="005058F2" w:rsidRPr="009A6EA0" w:rsidRDefault="005058F2" w:rsidP="002B0931">
            <w:pPr>
              <w:jc w:val="both"/>
              <w:rPr>
                <w:rFonts w:cstheme="minorHAnsi"/>
                <w:szCs w:val="20"/>
                <w:lang w:eastAsia="en-US"/>
              </w:rPr>
            </w:pPr>
            <w:r w:rsidRPr="009A6EA0">
              <w:rPr>
                <w:rFonts w:cstheme="minorHAnsi"/>
                <w:szCs w:val="20"/>
                <w:lang w:eastAsia="en-US"/>
              </w:rPr>
              <w:t>1 </w:t>
            </w:r>
          </w:p>
        </w:tc>
        <w:tc>
          <w:tcPr>
            <w:tcW w:w="452" w:type="dxa"/>
            <w:shd w:val="clear" w:color="auto" w:fill="auto"/>
            <w:vAlign w:val="center"/>
          </w:tcPr>
          <w:p w14:paraId="245E7838" w14:textId="77777777" w:rsidR="005058F2" w:rsidRPr="009A6EA0" w:rsidRDefault="005058F2" w:rsidP="002B0931">
            <w:pPr>
              <w:jc w:val="both"/>
              <w:rPr>
                <w:rFonts w:cstheme="minorHAnsi"/>
                <w:szCs w:val="20"/>
                <w:lang w:eastAsia="en-US"/>
              </w:rPr>
            </w:pPr>
            <w:r w:rsidRPr="009A6EA0">
              <w:rPr>
                <w:rFonts w:cstheme="minorHAnsi"/>
                <w:szCs w:val="20"/>
                <w:lang w:eastAsia="en-US"/>
              </w:rPr>
              <w:t>8.1 </w:t>
            </w:r>
          </w:p>
        </w:tc>
        <w:tc>
          <w:tcPr>
            <w:tcW w:w="2144" w:type="dxa"/>
            <w:shd w:val="clear" w:color="auto" w:fill="auto"/>
            <w:vAlign w:val="center"/>
          </w:tcPr>
          <w:p w14:paraId="5736AF85" w14:textId="77777777" w:rsidR="005058F2" w:rsidRPr="009A6EA0" w:rsidRDefault="005058F2" w:rsidP="002B0931">
            <w:pPr>
              <w:jc w:val="center"/>
              <w:rPr>
                <w:rFonts w:cstheme="minorHAnsi"/>
                <w:szCs w:val="20"/>
                <w:lang w:eastAsia="en-US"/>
              </w:rPr>
            </w:pPr>
            <w:r w:rsidRPr="009A6EA0">
              <w:rPr>
                <w:rFonts w:cstheme="minorHAnsi"/>
                <w:szCs w:val="20"/>
                <w:lang w:eastAsia="en-US"/>
              </w:rPr>
              <w:t>Pari o superiore al 30%</w:t>
            </w:r>
          </w:p>
        </w:tc>
        <w:tc>
          <w:tcPr>
            <w:tcW w:w="992" w:type="dxa"/>
            <w:shd w:val="clear" w:color="auto" w:fill="auto"/>
            <w:vAlign w:val="center"/>
          </w:tcPr>
          <w:p w14:paraId="67F85D7A" w14:textId="77777777" w:rsidR="005058F2" w:rsidRPr="009A6EA0" w:rsidRDefault="005058F2" w:rsidP="002B0931">
            <w:pPr>
              <w:jc w:val="both"/>
              <w:rPr>
                <w:rFonts w:cstheme="minorHAnsi"/>
                <w:szCs w:val="20"/>
                <w:lang w:eastAsia="en-US"/>
              </w:rPr>
            </w:pPr>
            <w:r w:rsidRPr="009A6EA0">
              <w:rPr>
                <w:rFonts w:cstheme="minorHAnsi"/>
                <w:szCs w:val="20"/>
                <w:lang w:eastAsia="en-US"/>
              </w:rPr>
              <w:t> </w:t>
            </w:r>
          </w:p>
        </w:tc>
        <w:tc>
          <w:tcPr>
            <w:tcW w:w="1276" w:type="dxa"/>
            <w:shd w:val="clear" w:color="auto" w:fill="auto"/>
            <w:vAlign w:val="center"/>
          </w:tcPr>
          <w:p w14:paraId="3E26FB32" w14:textId="77777777" w:rsidR="005058F2" w:rsidRPr="009A6EA0" w:rsidRDefault="005058F2" w:rsidP="002B0931">
            <w:pPr>
              <w:jc w:val="both"/>
              <w:rPr>
                <w:rFonts w:cstheme="minorHAnsi"/>
                <w:szCs w:val="20"/>
                <w:lang w:eastAsia="en-US"/>
              </w:rPr>
            </w:pPr>
            <w:r w:rsidRPr="009A6EA0">
              <w:rPr>
                <w:rFonts w:cstheme="minorHAnsi"/>
                <w:szCs w:val="20"/>
                <w:lang w:eastAsia="en-US"/>
              </w:rPr>
              <w:t>1 </w:t>
            </w:r>
          </w:p>
        </w:tc>
        <w:tc>
          <w:tcPr>
            <w:tcW w:w="1276" w:type="dxa"/>
          </w:tcPr>
          <w:p w14:paraId="787F79E3" w14:textId="77777777" w:rsidR="005058F2" w:rsidRPr="009A6EA0" w:rsidRDefault="005058F2" w:rsidP="002B0931">
            <w:pPr>
              <w:jc w:val="both"/>
              <w:rPr>
                <w:rFonts w:cstheme="minorHAnsi"/>
                <w:szCs w:val="20"/>
                <w:lang w:eastAsia="en-US"/>
              </w:rPr>
            </w:pPr>
          </w:p>
        </w:tc>
      </w:tr>
      <w:tr w:rsidR="005058F2" w:rsidRPr="00E44724" w14:paraId="01F2AAF9" w14:textId="77777777" w:rsidTr="002B0931">
        <w:trPr>
          <w:cantSplit/>
          <w:trHeight w:val="20"/>
        </w:trPr>
        <w:tc>
          <w:tcPr>
            <w:tcW w:w="332" w:type="dxa"/>
            <w:vMerge/>
            <w:shd w:val="clear" w:color="auto" w:fill="auto"/>
            <w:vAlign w:val="center"/>
          </w:tcPr>
          <w:p w14:paraId="753DE6DD" w14:textId="77777777" w:rsidR="005058F2" w:rsidRPr="009A6EA0" w:rsidRDefault="005058F2" w:rsidP="002B0931">
            <w:pPr>
              <w:jc w:val="both"/>
              <w:rPr>
                <w:rFonts w:cstheme="minorHAnsi"/>
                <w:szCs w:val="20"/>
                <w:lang w:eastAsia="en-US"/>
              </w:rPr>
            </w:pPr>
          </w:p>
        </w:tc>
        <w:tc>
          <w:tcPr>
            <w:tcW w:w="1915" w:type="dxa"/>
            <w:vMerge/>
            <w:shd w:val="clear" w:color="auto" w:fill="auto"/>
            <w:vAlign w:val="center"/>
          </w:tcPr>
          <w:p w14:paraId="62CEB301" w14:textId="77777777" w:rsidR="005058F2" w:rsidRPr="009A6EA0" w:rsidRDefault="005058F2" w:rsidP="002B0931">
            <w:pPr>
              <w:jc w:val="both"/>
              <w:rPr>
                <w:rFonts w:cstheme="minorHAnsi"/>
                <w:szCs w:val="20"/>
                <w:lang w:eastAsia="en-US"/>
              </w:rPr>
            </w:pPr>
          </w:p>
        </w:tc>
        <w:tc>
          <w:tcPr>
            <w:tcW w:w="550" w:type="dxa"/>
            <w:vMerge/>
            <w:shd w:val="clear" w:color="auto" w:fill="auto"/>
            <w:vAlign w:val="center"/>
          </w:tcPr>
          <w:p w14:paraId="2EB61DD5" w14:textId="77777777" w:rsidR="005058F2" w:rsidRPr="009A6EA0" w:rsidRDefault="005058F2" w:rsidP="002B0931">
            <w:pPr>
              <w:jc w:val="center"/>
              <w:rPr>
                <w:rFonts w:cstheme="minorHAnsi"/>
                <w:szCs w:val="20"/>
                <w:lang w:eastAsia="en-US"/>
              </w:rPr>
            </w:pPr>
          </w:p>
        </w:tc>
        <w:tc>
          <w:tcPr>
            <w:tcW w:w="452" w:type="dxa"/>
            <w:shd w:val="clear" w:color="auto" w:fill="auto"/>
            <w:vAlign w:val="center"/>
          </w:tcPr>
          <w:p w14:paraId="1BA34082" w14:textId="77777777" w:rsidR="005058F2" w:rsidRPr="009A6EA0" w:rsidRDefault="005058F2" w:rsidP="002B0931">
            <w:pPr>
              <w:jc w:val="center"/>
              <w:rPr>
                <w:rFonts w:cstheme="minorHAnsi"/>
                <w:szCs w:val="20"/>
                <w:lang w:eastAsia="en-US"/>
              </w:rPr>
            </w:pPr>
            <w:r w:rsidRPr="009A6EA0">
              <w:rPr>
                <w:rFonts w:cstheme="minorHAnsi"/>
                <w:szCs w:val="20"/>
                <w:lang w:eastAsia="en-US"/>
              </w:rPr>
              <w:t>8.2 </w:t>
            </w:r>
          </w:p>
        </w:tc>
        <w:tc>
          <w:tcPr>
            <w:tcW w:w="2144" w:type="dxa"/>
            <w:shd w:val="clear" w:color="auto" w:fill="auto"/>
            <w:vAlign w:val="center"/>
          </w:tcPr>
          <w:p w14:paraId="60EE83AE" w14:textId="77777777" w:rsidR="005058F2" w:rsidRPr="009A6EA0" w:rsidRDefault="005058F2" w:rsidP="002B0931">
            <w:pPr>
              <w:jc w:val="center"/>
              <w:rPr>
                <w:rFonts w:cstheme="minorHAnsi"/>
                <w:szCs w:val="20"/>
                <w:lang w:eastAsia="en-US"/>
              </w:rPr>
            </w:pPr>
            <w:r w:rsidRPr="009A6EA0">
              <w:rPr>
                <w:rFonts w:cstheme="minorHAnsi"/>
                <w:szCs w:val="20"/>
                <w:lang w:eastAsia="en-US"/>
              </w:rPr>
              <w:t>Inferiore al 30%</w:t>
            </w:r>
          </w:p>
        </w:tc>
        <w:tc>
          <w:tcPr>
            <w:tcW w:w="992" w:type="dxa"/>
            <w:shd w:val="clear" w:color="auto" w:fill="auto"/>
            <w:vAlign w:val="center"/>
          </w:tcPr>
          <w:p w14:paraId="393E9CDA" w14:textId="77777777" w:rsidR="005058F2" w:rsidRPr="009A6EA0" w:rsidRDefault="005058F2" w:rsidP="002B0931">
            <w:pPr>
              <w:jc w:val="center"/>
              <w:rPr>
                <w:rFonts w:cstheme="minorHAnsi"/>
                <w:szCs w:val="20"/>
                <w:lang w:eastAsia="en-US"/>
              </w:rPr>
            </w:pPr>
          </w:p>
        </w:tc>
        <w:tc>
          <w:tcPr>
            <w:tcW w:w="1276" w:type="dxa"/>
            <w:shd w:val="clear" w:color="auto" w:fill="auto"/>
            <w:vAlign w:val="center"/>
          </w:tcPr>
          <w:p w14:paraId="32142D97" w14:textId="77777777" w:rsidR="005058F2" w:rsidRPr="009A6EA0" w:rsidRDefault="005058F2" w:rsidP="002B0931">
            <w:pPr>
              <w:jc w:val="center"/>
              <w:rPr>
                <w:rFonts w:cstheme="minorHAnsi"/>
                <w:szCs w:val="20"/>
                <w:lang w:eastAsia="en-US"/>
              </w:rPr>
            </w:pPr>
            <w:r w:rsidRPr="009A6EA0">
              <w:rPr>
                <w:rFonts w:cstheme="minorHAnsi"/>
                <w:szCs w:val="20"/>
                <w:lang w:eastAsia="en-US"/>
              </w:rPr>
              <w:t>0 </w:t>
            </w:r>
          </w:p>
        </w:tc>
        <w:tc>
          <w:tcPr>
            <w:tcW w:w="1276" w:type="dxa"/>
          </w:tcPr>
          <w:p w14:paraId="4B25BDE4" w14:textId="77777777" w:rsidR="005058F2" w:rsidRPr="009A6EA0" w:rsidRDefault="005058F2" w:rsidP="002B0931">
            <w:pPr>
              <w:jc w:val="center"/>
              <w:rPr>
                <w:rFonts w:cstheme="minorHAnsi"/>
                <w:szCs w:val="20"/>
                <w:lang w:eastAsia="en-US"/>
              </w:rPr>
            </w:pPr>
          </w:p>
        </w:tc>
      </w:tr>
      <w:tr w:rsidR="005058F2" w:rsidRPr="00E44724" w14:paraId="182496D1" w14:textId="77777777" w:rsidTr="002B0931">
        <w:trPr>
          <w:cantSplit/>
          <w:trHeight w:val="20"/>
        </w:trPr>
        <w:tc>
          <w:tcPr>
            <w:tcW w:w="332" w:type="dxa"/>
            <w:shd w:val="clear" w:color="000000" w:fill="D9D9D9"/>
            <w:vAlign w:val="center"/>
            <w:hideMark/>
          </w:tcPr>
          <w:p w14:paraId="5595CF73" w14:textId="77777777" w:rsidR="005058F2" w:rsidRPr="00E44724" w:rsidRDefault="005058F2" w:rsidP="002B0931">
            <w:pPr>
              <w:jc w:val="both"/>
              <w:rPr>
                <w:rFonts w:ascii="Calibri" w:hAnsi="Calibri" w:cs="Calibri"/>
                <w:smallCaps/>
                <w:szCs w:val="20"/>
              </w:rPr>
            </w:pPr>
          </w:p>
        </w:tc>
        <w:tc>
          <w:tcPr>
            <w:tcW w:w="1915" w:type="dxa"/>
            <w:shd w:val="clear" w:color="000000" w:fill="D9D9D9"/>
            <w:vAlign w:val="center"/>
            <w:hideMark/>
          </w:tcPr>
          <w:p w14:paraId="6F444312" w14:textId="77777777" w:rsidR="005058F2" w:rsidRPr="00E44724" w:rsidRDefault="005058F2" w:rsidP="002B0931">
            <w:pPr>
              <w:jc w:val="both"/>
              <w:rPr>
                <w:rFonts w:ascii="Calibri" w:hAnsi="Calibri" w:cs="Calibri"/>
                <w:b/>
                <w:bCs/>
                <w:smallCaps/>
                <w:szCs w:val="20"/>
              </w:rPr>
            </w:pPr>
            <w:r>
              <w:rPr>
                <w:rFonts w:ascii="Calibri" w:hAnsi="Calibri" w:cs="Calibri"/>
                <w:b/>
                <w:bCs/>
                <w:smallCaps/>
                <w:szCs w:val="20"/>
              </w:rPr>
              <w:t>Totale</w:t>
            </w:r>
          </w:p>
        </w:tc>
        <w:tc>
          <w:tcPr>
            <w:tcW w:w="550" w:type="dxa"/>
            <w:shd w:val="clear" w:color="000000" w:fill="D9D9D9"/>
            <w:vAlign w:val="center"/>
            <w:hideMark/>
          </w:tcPr>
          <w:p w14:paraId="28CE07A5" w14:textId="77777777" w:rsidR="005058F2" w:rsidRPr="00E44724" w:rsidRDefault="005058F2" w:rsidP="002B0931">
            <w:pPr>
              <w:jc w:val="center"/>
              <w:rPr>
                <w:rFonts w:ascii="Calibri" w:hAnsi="Calibri" w:cs="Calibri"/>
                <w:b/>
                <w:bCs/>
                <w:smallCaps/>
                <w:szCs w:val="20"/>
              </w:rPr>
            </w:pPr>
            <w:r>
              <w:rPr>
                <w:rFonts w:ascii="Calibri" w:hAnsi="Calibri" w:cs="Calibri"/>
                <w:smallCaps/>
                <w:szCs w:val="20"/>
              </w:rPr>
              <w:t>70</w:t>
            </w:r>
          </w:p>
        </w:tc>
        <w:tc>
          <w:tcPr>
            <w:tcW w:w="452" w:type="dxa"/>
            <w:shd w:val="clear" w:color="000000" w:fill="D9D9D9"/>
            <w:vAlign w:val="center"/>
            <w:hideMark/>
          </w:tcPr>
          <w:p w14:paraId="03081365" w14:textId="77777777" w:rsidR="005058F2" w:rsidRPr="00E44724" w:rsidRDefault="005058F2" w:rsidP="002B0931">
            <w:pPr>
              <w:jc w:val="center"/>
              <w:rPr>
                <w:rFonts w:ascii="Calibri" w:hAnsi="Calibri" w:cs="Calibri"/>
                <w:b/>
                <w:bCs/>
                <w:smallCaps/>
                <w:szCs w:val="20"/>
              </w:rPr>
            </w:pPr>
          </w:p>
        </w:tc>
        <w:tc>
          <w:tcPr>
            <w:tcW w:w="2144" w:type="dxa"/>
            <w:shd w:val="clear" w:color="000000" w:fill="D9D9D9"/>
            <w:vAlign w:val="center"/>
            <w:hideMark/>
          </w:tcPr>
          <w:p w14:paraId="67DCC3FC" w14:textId="77777777" w:rsidR="005058F2" w:rsidRPr="00E44724" w:rsidRDefault="005058F2" w:rsidP="002B0931">
            <w:pPr>
              <w:jc w:val="center"/>
              <w:rPr>
                <w:rFonts w:ascii="Calibri" w:hAnsi="Calibri" w:cs="Calibri"/>
                <w:b/>
                <w:bCs/>
                <w:smallCaps/>
                <w:szCs w:val="20"/>
              </w:rPr>
            </w:pPr>
          </w:p>
        </w:tc>
        <w:tc>
          <w:tcPr>
            <w:tcW w:w="992" w:type="dxa"/>
            <w:shd w:val="clear" w:color="000000" w:fill="D9D9D9"/>
            <w:vAlign w:val="center"/>
            <w:hideMark/>
          </w:tcPr>
          <w:p w14:paraId="1B578087" w14:textId="77777777" w:rsidR="005058F2" w:rsidRPr="00E44724" w:rsidRDefault="005058F2" w:rsidP="002B0931">
            <w:pPr>
              <w:jc w:val="center"/>
              <w:rPr>
                <w:rFonts w:ascii="Calibri" w:hAnsi="Calibri" w:cs="Calibri"/>
                <w:b/>
                <w:bCs/>
                <w:smallCaps/>
                <w:szCs w:val="20"/>
              </w:rPr>
            </w:pPr>
          </w:p>
        </w:tc>
        <w:tc>
          <w:tcPr>
            <w:tcW w:w="1276" w:type="dxa"/>
            <w:shd w:val="clear" w:color="000000" w:fill="D9D9D9"/>
            <w:vAlign w:val="center"/>
            <w:hideMark/>
          </w:tcPr>
          <w:p w14:paraId="06EA8DB1" w14:textId="77777777" w:rsidR="005058F2" w:rsidRPr="00E44724" w:rsidRDefault="005058F2" w:rsidP="002B0931">
            <w:pPr>
              <w:jc w:val="center"/>
              <w:rPr>
                <w:rFonts w:ascii="Calibri" w:hAnsi="Calibri" w:cs="Calibri"/>
                <w:b/>
                <w:bCs/>
                <w:smallCaps/>
                <w:szCs w:val="20"/>
              </w:rPr>
            </w:pPr>
          </w:p>
        </w:tc>
        <w:tc>
          <w:tcPr>
            <w:tcW w:w="1276" w:type="dxa"/>
            <w:shd w:val="clear" w:color="000000" w:fill="D9D9D9"/>
          </w:tcPr>
          <w:p w14:paraId="6F4A8030" w14:textId="77777777" w:rsidR="005058F2" w:rsidRPr="00E44724" w:rsidRDefault="005058F2" w:rsidP="002B0931">
            <w:pPr>
              <w:jc w:val="center"/>
              <w:rPr>
                <w:rFonts w:ascii="Calibri" w:hAnsi="Calibri" w:cs="Calibri"/>
                <w:b/>
                <w:bCs/>
                <w:smallCaps/>
                <w:szCs w:val="20"/>
              </w:rPr>
            </w:pPr>
          </w:p>
        </w:tc>
      </w:tr>
    </w:tbl>
    <w:p w14:paraId="4FB7959D" w14:textId="77777777" w:rsidR="005058F2" w:rsidRDefault="005058F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2068">
      <w:headerReference w:type="default" r:id="rId11"/>
      <w:footerReference w:type="default" r:id="rId12"/>
      <w:pgSz w:w="11906" w:h="16838"/>
      <w:pgMar w:top="1719"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57F3B" w14:textId="77777777" w:rsidR="00CF12FE" w:rsidRDefault="00CF12FE" w:rsidP="00F91270">
      <w:r>
        <w:separator/>
      </w:r>
    </w:p>
  </w:endnote>
  <w:endnote w:type="continuationSeparator" w:id="0">
    <w:p w14:paraId="560282DD" w14:textId="77777777" w:rsidR="00CF12FE" w:rsidRDefault="00CF12F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2280" w14:textId="77777777" w:rsidR="009B2068" w:rsidRDefault="009B2068">
    <w:pPr>
      <w:pStyle w:val="Pidipagina"/>
    </w:pPr>
  </w:p>
  <w:p w14:paraId="6F510F85" w14:textId="040D76A6" w:rsidR="00966DA6" w:rsidRDefault="00966DA6">
    <w:pPr>
      <w:pStyle w:val="Pidipagina"/>
    </w:pPr>
    <w:r w:rsidRPr="007C7A38">
      <w:rPr>
        <w:rFonts w:ascii="Times New Roman" w:eastAsia="Times New Roman" w:hAnsi="Times New Roman"/>
        <w:noProof/>
        <w:sz w:val="24"/>
        <w:szCs w:val="24"/>
        <w:lang w:eastAsia="en-GB"/>
      </w:rPr>
      <w:drawing>
        <wp:inline distT="0" distB="0" distL="0" distR="0" wp14:anchorId="138D6E56" wp14:editId="33CE9D4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59FAE231" w14:textId="77777777" w:rsidR="009B2068" w:rsidRDefault="009B2068">
    <w:pPr>
      <w:pStyle w:val="Pidipagina"/>
    </w:pP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9B2068" w:rsidRPr="00613630" w14:paraId="582880DC" w14:textId="77777777" w:rsidTr="00501D2C">
      <w:trPr>
        <w:cantSplit/>
        <w:trHeight w:val="688"/>
      </w:trPr>
      <w:tc>
        <w:tcPr>
          <w:tcW w:w="3659" w:type="pct"/>
          <w:tcBorders>
            <w:right w:val="nil"/>
          </w:tcBorders>
          <w:shd w:val="clear" w:color="auto" w:fill="2A65B0"/>
          <w:tcMar>
            <w:left w:w="567" w:type="dxa"/>
            <w:right w:w="340" w:type="dxa"/>
          </w:tcMar>
          <w:vAlign w:val="center"/>
        </w:tcPr>
        <w:p w14:paraId="6B421F62" w14:textId="77777777" w:rsidR="009B2068" w:rsidRPr="00613630" w:rsidRDefault="009B2068" w:rsidP="009B2068">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62BAEBE9"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37F9267B"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C46188B" w14:textId="77777777" w:rsidR="009B2068" w:rsidRPr="00613630" w:rsidRDefault="009B2068" w:rsidP="009B2068">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24E45536" wp14:editId="66A5B19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0C9DF64" w14:textId="77777777" w:rsidR="009B2068" w:rsidRDefault="009B2068" w:rsidP="009B20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7EF84" w14:textId="77777777" w:rsidR="00CF12FE" w:rsidRDefault="00CF12FE" w:rsidP="00F91270">
      <w:r>
        <w:separator/>
      </w:r>
    </w:p>
  </w:footnote>
  <w:footnote w:type="continuationSeparator" w:id="0">
    <w:p w14:paraId="33A034E0" w14:textId="77777777" w:rsidR="00CF12FE" w:rsidRDefault="00CF12F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82E5" w14:textId="4E0199FC" w:rsidR="00F05B78" w:rsidRDefault="00F05B78" w:rsidP="00CA76B0">
    <w:pPr>
      <w:pStyle w:val="Intestazione"/>
      <w:tabs>
        <w:tab w:val="clear" w:pos="9638"/>
        <w:tab w:val="right" w:pos="9864"/>
      </w:tabs>
      <w:ind w:left="-1021" w:right="-1021" w:firstLine="28"/>
      <w:rPr>
        <w:noProof/>
        <w:lang w:eastAsia="en-US"/>
      </w:rPr>
    </w:pPr>
    <w:r>
      <w:rPr>
        <w:noProof/>
        <w:lang w:eastAsia="en-US"/>
      </w:rPr>
      <w:drawing>
        <wp:anchor distT="0" distB="0" distL="114300" distR="114300" simplePos="0" relativeHeight="251659264" behindDoc="1" locked="0" layoutInCell="1" allowOverlap="1" wp14:anchorId="4911CB41" wp14:editId="61802C4E">
          <wp:simplePos x="0" y="0"/>
          <wp:positionH relativeFrom="page">
            <wp:align>left</wp:align>
          </wp:positionH>
          <wp:positionV relativeFrom="paragraph">
            <wp:posOffset>-8890</wp:posOffset>
          </wp:positionV>
          <wp:extent cx="7612380" cy="945515"/>
          <wp:effectExtent l="0" t="0" r="762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2380" cy="945515"/>
                  </a:xfrm>
                  <a:prstGeom prst="rect">
                    <a:avLst/>
                  </a:prstGeom>
                  <a:noFill/>
                </pic:spPr>
              </pic:pic>
            </a:graphicData>
          </a:graphic>
          <wp14:sizeRelH relativeFrom="page">
            <wp14:pctWidth>0</wp14:pctWidth>
          </wp14:sizeRelH>
          <wp14:sizeRelV relativeFrom="page">
            <wp14:pctHeight>0</wp14:pctHeight>
          </wp14:sizeRelV>
        </wp:anchor>
      </w:drawing>
    </w:r>
  </w:p>
  <w:p w14:paraId="526AD29B" w14:textId="17D7D48B"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p w14:paraId="18396073" w14:textId="77777777" w:rsidR="00F05B78" w:rsidRDefault="00F05B78">
    <w:pPr>
      <w:pStyle w:val="Intestazione"/>
    </w:pPr>
  </w:p>
  <w:p w14:paraId="678AC037" w14:textId="77777777" w:rsidR="00F05B78" w:rsidRDefault="00F05B78">
    <w:pPr>
      <w:pStyle w:val="Intestazione"/>
    </w:pPr>
  </w:p>
  <w:p w14:paraId="1082D2DC" w14:textId="77777777" w:rsidR="00F05B78" w:rsidRDefault="00F05B78">
    <w:pPr>
      <w:pStyle w:val="Intestazione"/>
    </w:pPr>
  </w:p>
  <w:p w14:paraId="7B8B5F16" w14:textId="7F7AA5A6" w:rsidR="00F05B78" w:rsidRDefault="00BF1D06">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602293C0" wp14:editId="283566F7">
          <wp:simplePos x="0" y="0"/>
          <wp:positionH relativeFrom="margin">
            <wp:posOffset>198120</wp:posOffset>
          </wp:positionH>
          <wp:positionV relativeFrom="paragraph">
            <wp:posOffset>1905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C024238" w14:textId="5BD11760" w:rsidR="00F05B78" w:rsidRDefault="00F05B78">
    <w:pPr>
      <w:pStyle w:val="Intestazione"/>
    </w:pPr>
  </w:p>
  <w:p w14:paraId="20969166" w14:textId="77777777" w:rsidR="00F05B78" w:rsidRDefault="00F05B78">
    <w:pPr>
      <w:pStyle w:val="Intestazione"/>
    </w:pPr>
  </w:p>
  <w:p w14:paraId="0B20AAC3" w14:textId="77777777" w:rsidR="00F05B78" w:rsidRDefault="00F05B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98196599">
    <w:abstractNumId w:val="28"/>
  </w:num>
  <w:num w:numId="2" w16cid:durableId="1467242147">
    <w:abstractNumId w:val="2"/>
  </w:num>
  <w:num w:numId="3" w16cid:durableId="1481077964">
    <w:abstractNumId w:val="5"/>
  </w:num>
  <w:num w:numId="4" w16cid:durableId="259725491">
    <w:abstractNumId w:val="24"/>
  </w:num>
  <w:num w:numId="5" w16cid:durableId="1136797717">
    <w:abstractNumId w:val="1"/>
  </w:num>
  <w:num w:numId="6" w16cid:durableId="1124808410">
    <w:abstractNumId w:val="21"/>
  </w:num>
  <w:num w:numId="7" w16cid:durableId="522862382">
    <w:abstractNumId w:val="10"/>
  </w:num>
  <w:num w:numId="8" w16cid:durableId="1822695830">
    <w:abstractNumId w:val="9"/>
  </w:num>
  <w:num w:numId="9" w16cid:durableId="1897547039">
    <w:abstractNumId w:val="3"/>
  </w:num>
  <w:num w:numId="10" w16cid:durableId="670888">
    <w:abstractNumId w:val="30"/>
  </w:num>
  <w:num w:numId="11" w16cid:durableId="1769882066">
    <w:abstractNumId w:val="7"/>
  </w:num>
  <w:num w:numId="12" w16cid:durableId="1827167158">
    <w:abstractNumId w:val="29"/>
  </w:num>
  <w:num w:numId="13" w16cid:durableId="1117527400">
    <w:abstractNumId w:val="6"/>
  </w:num>
  <w:num w:numId="14" w16cid:durableId="1125393321">
    <w:abstractNumId w:val="17"/>
  </w:num>
  <w:num w:numId="15" w16cid:durableId="844322001">
    <w:abstractNumId w:val="26"/>
  </w:num>
  <w:num w:numId="16" w16cid:durableId="203716962">
    <w:abstractNumId w:val="4"/>
  </w:num>
  <w:num w:numId="17" w16cid:durableId="210309380">
    <w:abstractNumId w:val="23"/>
  </w:num>
  <w:num w:numId="18" w16cid:durableId="1763838722">
    <w:abstractNumId w:val="8"/>
  </w:num>
  <w:num w:numId="19" w16cid:durableId="1757361241">
    <w:abstractNumId w:val="31"/>
  </w:num>
  <w:num w:numId="20" w16cid:durableId="188765952">
    <w:abstractNumId w:val="25"/>
  </w:num>
  <w:num w:numId="21" w16cid:durableId="1720786308">
    <w:abstractNumId w:val="11"/>
  </w:num>
  <w:num w:numId="22" w16cid:durableId="1987776751">
    <w:abstractNumId w:val="14"/>
  </w:num>
  <w:num w:numId="23" w16cid:durableId="1418139844">
    <w:abstractNumId w:val="15"/>
  </w:num>
  <w:num w:numId="24" w16cid:durableId="120535002">
    <w:abstractNumId w:val="16"/>
  </w:num>
  <w:num w:numId="25" w16cid:durableId="1922134304">
    <w:abstractNumId w:val="12"/>
  </w:num>
  <w:num w:numId="26" w16cid:durableId="389378742">
    <w:abstractNumId w:val="20"/>
  </w:num>
  <w:num w:numId="27" w16cid:durableId="1601453114">
    <w:abstractNumId w:val="27"/>
  </w:num>
  <w:num w:numId="28" w16cid:durableId="934559599">
    <w:abstractNumId w:val="0"/>
  </w:num>
  <w:num w:numId="29" w16cid:durableId="854538682">
    <w:abstractNumId w:val="22"/>
  </w:num>
  <w:num w:numId="30" w16cid:durableId="1812870693">
    <w:abstractNumId w:val="18"/>
  </w:num>
  <w:num w:numId="31" w16cid:durableId="872113705">
    <w:abstractNumId w:val="19"/>
  </w:num>
  <w:num w:numId="32" w16cid:durableId="181621637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3651"/>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1A8E"/>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7ED"/>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300D"/>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58F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3F68"/>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5C7F"/>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DA6"/>
    <w:rsid w:val="00966FF5"/>
    <w:rsid w:val="00967065"/>
    <w:rsid w:val="00971D76"/>
    <w:rsid w:val="00975E1B"/>
    <w:rsid w:val="0098517C"/>
    <w:rsid w:val="00987077"/>
    <w:rsid w:val="00987339"/>
    <w:rsid w:val="0098758A"/>
    <w:rsid w:val="009909A0"/>
    <w:rsid w:val="009920B2"/>
    <w:rsid w:val="00993D0B"/>
    <w:rsid w:val="00994A90"/>
    <w:rsid w:val="00995562"/>
    <w:rsid w:val="0099736A"/>
    <w:rsid w:val="009A0E65"/>
    <w:rsid w:val="009A34B9"/>
    <w:rsid w:val="009A4D2C"/>
    <w:rsid w:val="009A5176"/>
    <w:rsid w:val="009A68A0"/>
    <w:rsid w:val="009B2068"/>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3357"/>
    <w:rsid w:val="00B344BD"/>
    <w:rsid w:val="00B352A3"/>
    <w:rsid w:val="00B45ECF"/>
    <w:rsid w:val="00B46587"/>
    <w:rsid w:val="00B47B51"/>
    <w:rsid w:val="00B549BE"/>
    <w:rsid w:val="00B70F58"/>
    <w:rsid w:val="00B7155B"/>
    <w:rsid w:val="00B76DCB"/>
    <w:rsid w:val="00B800DC"/>
    <w:rsid w:val="00B803FB"/>
    <w:rsid w:val="00B81456"/>
    <w:rsid w:val="00B827C8"/>
    <w:rsid w:val="00B83110"/>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1D06"/>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249D"/>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12FE"/>
    <w:rsid w:val="00CF3C80"/>
    <w:rsid w:val="00D04B68"/>
    <w:rsid w:val="00D10953"/>
    <w:rsid w:val="00D20E3C"/>
    <w:rsid w:val="00D2202B"/>
    <w:rsid w:val="00D25E8B"/>
    <w:rsid w:val="00D26EBC"/>
    <w:rsid w:val="00D3119D"/>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48B3"/>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63D9"/>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43A0"/>
    <w:rsid w:val="00ED5183"/>
    <w:rsid w:val="00EE2070"/>
    <w:rsid w:val="00EE2103"/>
    <w:rsid w:val="00EE3365"/>
    <w:rsid w:val="00EF352C"/>
    <w:rsid w:val="00EF571B"/>
    <w:rsid w:val="00F02249"/>
    <w:rsid w:val="00F03DC4"/>
    <w:rsid w:val="00F03FA0"/>
    <w:rsid w:val="00F05B78"/>
    <w:rsid w:val="00F10F96"/>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61B"/>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1EB"/>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208969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25D803-1A98-46A7-B196-F80E8F2758D2}">
  <ds:schemaRefs>
    <ds:schemaRef ds:uri="http://schemas.openxmlformats.org/officeDocument/2006/bibliography"/>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556</Words>
  <Characters>3175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20</cp:revision>
  <cp:lastPrinted>2017-10-24T09:03:00Z</cp:lastPrinted>
  <dcterms:created xsi:type="dcterms:W3CDTF">2024-02-07T10:19:00Z</dcterms:created>
  <dcterms:modified xsi:type="dcterms:W3CDTF">2024-07-03T14:00:00Z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